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67E" w:rsidRDefault="00AE05E2" w:rsidP="00B4267E">
      <w:pPr>
        <w:rPr>
          <w:lang w:val="nl-NL"/>
        </w:rPr>
      </w:pPr>
      <w:r>
        <w:rPr>
          <w:lang w:val="nl-NL"/>
        </w:rPr>
        <w:t xml:space="preserve">                                                                                                                                                                                                                                                                                                                                                                          </w:t>
      </w:r>
      <w:r w:rsidR="00654E14">
        <w:rPr>
          <w:lang w:val="nl-NL"/>
        </w:rPr>
        <w:t xml:space="preserve"> </w:t>
      </w:r>
      <w:r w:rsidR="00EC5B18">
        <w:rPr>
          <w:lang w:val="nl-NL"/>
        </w:rPr>
        <w:t xml:space="preserve">  </w:t>
      </w:r>
      <w:r w:rsidR="00B4267E">
        <w:rPr>
          <w:noProof/>
        </w:rPr>
        <w:drawing>
          <wp:inline distT="0" distB="0" distL="0" distR="0" wp14:anchorId="7E2D8B18" wp14:editId="343E080A">
            <wp:extent cx="1417320" cy="76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320" cy="769620"/>
                    </a:xfrm>
                    <a:prstGeom prst="rect">
                      <a:avLst/>
                    </a:prstGeom>
                    <a:noFill/>
                    <a:ln>
                      <a:noFill/>
                    </a:ln>
                  </pic:spPr>
                </pic:pic>
              </a:graphicData>
            </a:graphic>
          </wp:inline>
        </w:drawing>
      </w:r>
    </w:p>
    <w:p w:rsidR="00B4267E" w:rsidRPr="00452173" w:rsidRDefault="00B4267E" w:rsidP="00B4267E">
      <w:pPr>
        <w:pStyle w:val="Caption"/>
        <w:rPr>
          <w:rFonts w:ascii="Arial" w:hAnsi="Arial" w:cs="Arial"/>
          <w:sz w:val="24"/>
          <w:szCs w:val="24"/>
          <w:lang w:val="nl-NL"/>
        </w:rPr>
      </w:pPr>
      <w:r w:rsidRPr="00452173">
        <w:rPr>
          <w:rFonts w:ascii="Arial" w:hAnsi="Arial" w:cs="Arial"/>
          <w:sz w:val="24"/>
          <w:szCs w:val="24"/>
          <w:lang w:val="nl-NL"/>
        </w:rPr>
        <w:t>Voor meer informatie:</w:t>
      </w:r>
    </w:p>
    <w:p w:rsidR="00B4267E" w:rsidRPr="00CC7537" w:rsidRDefault="00A07ACB" w:rsidP="00B4267E">
      <w:pPr>
        <w:pStyle w:val="NoSpacing"/>
        <w:rPr>
          <w:rFonts w:asciiTheme="minorHAnsi" w:hAnsiTheme="minorHAnsi"/>
        </w:rPr>
      </w:pPr>
      <w:bookmarkStart w:id="0" w:name="_GoBack"/>
      <w:bookmarkEnd w:id="0"/>
      <w:r w:rsidRPr="00CC7537">
        <w:rPr>
          <w:rFonts w:asciiTheme="minorHAnsi" w:hAnsiTheme="minorHAnsi"/>
        </w:rPr>
        <w:t xml:space="preserve">WTC Building, Piscadera bay </w:t>
      </w:r>
      <w:r w:rsidR="00B4267E" w:rsidRPr="00CC7537">
        <w:rPr>
          <w:rFonts w:asciiTheme="minorHAnsi" w:hAnsiTheme="minorHAnsi"/>
        </w:rPr>
        <w:t>z/n</w:t>
      </w:r>
    </w:p>
    <w:p w:rsidR="00B4267E" w:rsidRPr="00CC7537" w:rsidRDefault="00B4267E" w:rsidP="00B4267E">
      <w:pPr>
        <w:pStyle w:val="NoSpacing"/>
        <w:rPr>
          <w:rFonts w:asciiTheme="minorHAnsi" w:hAnsiTheme="minorHAnsi"/>
          <w:lang w:val="it-IT"/>
        </w:rPr>
      </w:pPr>
      <w:r w:rsidRPr="00A26512">
        <w:rPr>
          <w:rFonts w:asciiTheme="minorHAnsi" w:hAnsiTheme="minorHAnsi"/>
        </w:rPr>
        <w:t xml:space="preserve">Tel: </w:t>
      </w:r>
      <w:r w:rsidR="00F54D59" w:rsidRPr="00A26512">
        <w:rPr>
          <w:rFonts w:asciiTheme="minorHAnsi" w:hAnsiTheme="minorHAnsi"/>
        </w:rPr>
        <w:t>(5999) 839.2300</w:t>
      </w:r>
    </w:p>
    <w:p w:rsidR="00B4267E" w:rsidRPr="00CC7537" w:rsidRDefault="00B4267E" w:rsidP="00B4267E">
      <w:pPr>
        <w:pStyle w:val="NoSpacing"/>
        <w:rPr>
          <w:rFonts w:asciiTheme="minorHAnsi" w:hAnsiTheme="minorHAnsi"/>
          <w:lang w:val="it-IT"/>
        </w:rPr>
      </w:pPr>
      <w:r w:rsidRPr="00CC7537">
        <w:rPr>
          <w:rFonts w:asciiTheme="minorHAnsi" w:hAnsiTheme="minorHAnsi"/>
          <w:lang w:val="it-IT"/>
        </w:rPr>
        <w:t xml:space="preserve">E-mail: </w:t>
      </w:r>
      <w:hyperlink r:id="rId8" w:history="1">
        <w:r w:rsidRPr="00CC7537">
          <w:rPr>
            <w:rStyle w:val="Hyperlink"/>
            <w:rFonts w:asciiTheme="minorHAnsi" w:hAnsiTheme="minorHAnsi"/>
            <w:lang w:val="it-IT"/>
          </w:rPr>
          <w:t>info@cbs.cw</w:t>
        </w:r>
      </w:hyperlink>
    </w:p>
    <w:p w:rsidR="00B4267E" w:rsidRPr="00C859EE" w:rsidRDefault="00520264" w:rsidP="00B4267E">
      <w:pPr>
        <w:pStyle w:val="NoSpacing"/>
        <w:rPr>
          <w:rStyle w:val="Hyperlink"/>
          <w:rFonts w:asciiTheme="minorHAnsi" w:hAnsiTheme="minorHAnsi"/>
        </w:rPr>
      </w:pPr>
      <w:hyperlink r:id="rId9" w:history="1">
        <w:r w:rsidR="00B4267E" w:rsidRPr="007F5AA1">
          <w:rPr>
            <w:rStyle w:val="Hyperlink"/>
            <w:rFonts w:asciiTheme="minorHAnsi" w:hAnsiTheme="minorHAnsi"/>
          </w:rPr>
          <w:t>www.cbs.cw</w:t>
        </w:r>
      </w:hyperlink>
    </w:p>
    <w:p w:rsidR="007F5AA1" w:rsidRPr="007F5AA1" w:rsidRDefault="007F5AA1" w:rsidP="00B4267E">
      <w:pPr>
        <w:pStyle w:val="NoSpacing"/>
        <w:rPr>
          <w:rFonts w:asciiTheme="minorHAnsi" w:hAnsiTheme="minorHAnsi"/>
          <w:lang w:val="nl-NL"/>
        </w:rPr>
      </w:pPr>
      <w:r>
        <w:rPr>
          <w:rStyle w:val="Hyperlink"/>
          <w:rFonts w:asciiTheme="minorHAnsi" w:hAnsiTheme="minorHAnsi"/>
          <w:lang w:val="nl-NL"/>
        </w:rPr>
        <w:t>Facebook: cbscur</w:t>
      </w:r>
    </w:p>
    <w:p w:rsidR="007F5AA1" w:rsidRPr="007F5AA1" w:rsidRDefault="00B4267E" w:rsidP="00B4267E">
      <w:pPr>
        <w:pStyle w:val="Default"/>
        <w:rPr>
          <w:rFonts w:ascii="Arial Black" w:hAnsi="Arial Black" w:cs="Arial Black"/>
          <w:sz w:val="52"/>
          <w:szCs w:val="52"/>
          <w:lang w:val="nl-NL"/>
        </w:rPr>
      </w:pPr>
      <w:r w:rsidRPr="007F5AA1">
        <w:rPr>
          <w:rFonts w:ascii="Arial Black" w:hAnsi="Arial Black" w:cs="Arial Black"/>
          <w:sz w:val="52"/>
          <w:szCs w:val="52"/>
          <w:lang w:val="nl-NL"/>
        </w:rPr>
        <w:t xml:space="preserve"> </w:t>
      </w:r>
    </w:p>
    <w:p w:rsidR="00B4267E" w:rsidRPr="00C859EE" w:rsidRDefault="007F5AA1" w:rsidP="007F5AA1">
      <w:pPr>
        <w:pStyle w:val="Default"/>
        <w:jc w:val="center"/>
        <w:rPr>
          <w:rFonts w:ascii="Arial Black" w:hAnsi="Arial Black" w:cs="Arial Black"/>
          <w:sz w:val="72"/>
          <w:szCs w:val="72"/>
          <w:lang w:val="nl-NL"/>
        </w:rPr>
      </w:pPr>
      <w:r w:rsidRPr="00C859EE">
        <w:rPr>
          <w:rFonts w:ascii="Arial Black" w:hAnsi="Arial Black" w:cs="Arial Black"/>
          <w:sz w:val="72"/>
          <w:szCs w:val="72"/>
          <w:lang w:val="nl-NL"/>
        </w:rPr>
        <w:t>Persbericht</w:t>
      </w:r>
    </w:p>
    <w:p w:rsidR="007F5AA1" w:rsidRPr="007F5AA1" w:rsidRDefault="007F5AA1" w:rsidP="00B4267E">
      <w:pPr>
        <w:pStyle w:val="Default"/>
        <w:rPr>
          <w:rFonts w:cs="Times New Roman"/>
          <w:lang w:val="nl-NL"/>
        </w:rPr>
      </w:pPr>
    </w:p>
    <w:p w:rsidR="00B4267E" w:rsidRPr="00AC4066" w:rsidRDefault="00B4267E" w:rsidP="00B4267E">
      <w:pPr>
        <w:pStyle w:val="Default"/>
        <w:ind w:left="5040"/>
        <w:jc w:val="right"/>
        <w:rPr>
          <w:rFonts w:ascii="Arial" w:hAnsi="Arial" w:cs="Arial"/>
          <w:b/>
          <w:bCs/>
          <w:color w:val="000000" w:themeColor="text1"/>
          <w:lang w:val="nl-NL"/>
        </w:rPr>
      </w:pPr>
      <w:r w:rsidRPr="00AC4066">
        <w:rPr>
          <w:rFonts w:ascii="Arial" w:hAnsi="Arial" w:cs="Arial"/>
          <w:b/>
          <w:bCs/>
          <w:color w:val="000000" w:themeColor="text1"/>
          <w:lang w:val="nl-NL"/>
        </w:rPr>
        <w:t xml:space="preserve">Willemstad, </w:t>
      </w:r>
      <w:r w:rsidR="00E9314E">
        <w:rPr>
          <w:rFonts w:ascii="Arial" w:hAnsi="Arial" w:cs="Arial"/>
          <w:b/>
          <w:bCs/>
          <w:color w:val="000000" w:themeColor="text1"/>
          <w:lang w:val="nl-NL"/>
        </w:rPr>
        <w:t>16</w:t>
      </w:r>
      <w:r w:rsidRPr="00AC4066">
        <w:rPr>
          <w:rFonts w:ascii="Arial" w:hAnsi="Arial" w:cs="Arial"/>
          <w:b/>
          <w:bCs/>
          <w:color w:val="000000" w:themeColor="text1"/>
          <w:lang w:val="nl-NL"/>
        </w:rPr>
        <w:t xml:space="preserve"> juli 201</w:t>
      </w:r>
      <w:r w:rsidR="00A26512">
        <w:rPr>
          <w:rFonts w:ascii="Arial" w:hAnsi="Arial" w:cs="Arial"/>
          <w:b/>
          <w:bCs/>
          <w:color w:val="000000" w:themeColor="text1"/>
          <w:lang w:val="nl-NL"/>
        </w:rPr>
        <w:t>9</w:t>
      </w:r>
    </w:p>
    <w:p w:rsidR="00B4267E" w:rsidRPr="006C66D1" w:rsidRDefault="00B4267E" w:rsidP="00A7204F">
      <w:pPr>
        <w:pStyle w:val="Heading1"/>
        <w:rPr>
          <w:lang w:val="nl-NL"/>
        </w:rPr>
      </w:pPr>
      <w:r w:rsidRPr="006C66D1">
        <w:rPr>
          <w:lang w:val="nl-NL"/>
        </w:rPr>
        <w:t>Eerste resultaten van het Bruto Bi</w:t>
      </w:r>
      <w:r w:rsidR="00837AF6">
        <w:rPr>
          <w:lang w:val="nl-NL"/>
        </w:rPr>
        <w:t>nnenlands Product Curaçao – 201</w:t>
      </w:r>
      <w:r w:rsidR="00A26512">
        <w:rPr>
          <w:lang w:val="nl-NL"/>
        </w:rPr>
        <w:t>8</w:t>
      </w:r>
    </w:p>
    <w:p w:rsidR="00B4267E" w:rsidRPr="002342B2" w:rsidRDefault="00B4267E" w:rsidP="00A7204F">
      <w:pPr>
        <w:pStyle w:val="Heading2"/>
        <w:rPr>
          <w:color w:val="548DD4" w:themeColor="text2" w:themeTint="99"/>
          <w:lang w:val="nl-NL"/>
        </w:rPr>
      </w:pPr>
      <w:r w:rsidRPr="002342B2">
        <w:rPr>
          <w:color w:val="548DD4" w:themeColor="text2" w:themeTint="99"/>
          <w:lang w:val="nl-NL"/>
        </w:rPr>
        <w:t xml:space="preserve">De economie </w:t>
      </w:r>
      <w:r w:rsidR="00DD6381" w:rsidRPr="002342B2">
        <w:rPr>
          <w:color w:val="548DD4" w:themeColor="text2" w:themeTint="99"/>
          <w:lang w:val="nl-NL"/>
        </w:rPr>
        <w:t xml:space="preserve">neemt af </w:t>
      </w:r>
      <w:r w:rsidR="00844B3A" w:rsidRPr="002342B2">
        <w:rPr>
          <w:color w:val="548DD4" w:themeColor="text2" w:themeTint="99"/>
          <w:lang w:val="nl-NL"/>
        </w:rPr>
        <w:t xml:space="preserve">met </w:t>
      </w:r>
      <w:r w:rsidR="00844B3A" w:rsidRPr="00AB0FE2">
        <w:rPr>
          <w:color w:val="548DD4" w:themeColor="text2" w:themeTint="99"/>
          <w:lang w:val="nl-NL"/>
        </w:rPr>
        <w:t>2,2</w:t>
      </w:r>
      <w:r w:rsidRPr="00AB0FE2">
        <w:rPr>
          <w:color w:val="548DD4" w:themeColor="text2" w:themeTint="99"/>
          <w:lang w:val="nl-NL"/>
        </w:rPr>
        <w:t xml:space="preserve"> </w:t>
      </w:r>
      <w:r w:rsidRPr="002342B2">
        <w:rPr>
          <w:color w:val="548DD4" w:themeColor="text2" w:themeTint="99"/>
          <w:lang w:val="nl-NL"/>
        </w:rPr>
        <w:t>procent in 201</w:t>
      </w:r>
      <w:r w:rsidR="001D2D7B" w:rsidRPr="002342B2">
        <w:rPr>
          <w:color w:val="548DD4" w:themeColor="text2" w:themeTint="99"/>
          <w:lang w:val="nl-NL"/>
        </w:rPr>
        <w:t>8</w:t>
      </w:r>
    </w:p>
    <w:p w:rsidR="00295984" w:rsidRDefault="00CC16A0" w:rsidP="00A7204F">
      <w:pPr>
        <w:jc w:val="both"/>
        <w:rPr>
          <w:color w:val="FF0000"/>
          <w:sz w:val="24"/>
          <w:szCs w:val="24"/>
          <w:lang w:val="nl-NL"/>
        </w:rPr>
      </w:pPr>
      <w:r w:rsidRPr="006C66D1">
        <w:rPr>
          <w:sz w:val="24"/>
          <w:szCs w:val="24"/>
          <w:lang w:val="nl-NL"/>
        </w:rPr>
        <w:t xml:space="preserve">In </w:t>
      </w:r>
      <w:r w:rsidR="00CB4D98" w:rsidRPr="006C66D1">
        <w:rPr>
          <w:sz w:val="24"/>
          <w:szCs w:val="24"/>
          <w:lang w:val="nl-NL"/>
        </w:rPr>
        <w:t>201</w:t>
      </w:r>
      <w:r w:rsidR="00193018">
        <w:rPr>
          <w:sz w:val="24"/>
          <w:szCs w:val="24"/>
          <w:lang w:val="nl-NL"/>
        </w:rPr>
        <w:t>8</w:t>
      </w:r>
      <w:r w:rsidR="00CB4D98" w:rsidRPr="006C66D1">
        <w:rPr>
          <w:sz w:val="24"/>
          <w:szCs w:val="24"/>
          <w:lang w:val="nl-NL"/>
        </w:rPr>
        <w:t xml:space="preserve"> komt </w:t>
      </w:r>
      <w:r w:rsidR="00DD6381" w:rsidRPr="006C66D1">
        <w:rPr>
          <w:sz w:val="24"/>
          <w:szCs w:val="24"/>
          <w:lang w:val="nl-NL"/>
        </w:rPr>
        <w:t>het</w:t>
      </w:r>
      <w:r w:rsidR="00CB4D98" w:rsidRPr="006C66D1">
        <w:rPr>
          <w:sz w:val="24"/>
          <w:szCs w:val="24"/>
          <w:lang w:val="nl-NL"/>
        </w:rPr>
        <w:t xml:space="preserve"> groei</w:t>
      </w:r>
      <w:r w:rsidR="00DD6381">
        <w:rPr>
          <w:sz w:val="24"/>
          <w:szCs w:val="24"/>
          <w:lang w:val="nl-NL"/>
        </w:rPr>
        <w:t>tempo</w:t>
      </w:r>
      <w:r w:rsidR="00CB4D98" w:rsidRPr="006C66D1">
        <w:rPr>
          <w:sz w:val="24"/>
          <w:szCs w:val="24"/>
          <w:lang w:val="nl-NL"/>
        </w:rPr>
        <w:t xml:space="preserve"> van het bruto binnenlands product (</w:t>
      </w:r>
      <w:r w:rsidR="00DD6381" w:rsidRPr="006C66D1">
        <w:rPr>
          <w:sz w:val="24"/>
          <w:szCs w:val="24"/>
          <w:lang w:val="nl-NL"/>
        </w:rPr>
        <w:t>bbp</w:t>
      </w:r>
      <w:r w:rsidR="00CB4D98" w:rsidRPr="006C66D1">
        <w:rPr>
          <w:sz w:val="24"/>
          <w:szCs w:val="24"/>
          <w:lang w:val="nl-NL"/>
        </w:rPr>
        <w:t xml:space="preserve">) </w:t>
      </w:r>
      <w:r w:rsidR="006C3690">
        <w:rPr>
          <w:sz w:val="24"/>
          <w:szCs w:val="24"/>
          <w:lang w:val="nl-NL"/>
        </w:rPr>
        <w:t xml:space="preserve">uit </w:t>
      </w:r>
      <w:r w:rsidR="002E4B35">
        <w:rPr>
          <w:sz w:val="24"/>
          <w:szCs w:val="24"/>
          <w:lang w:val="nl-NL"/>
        </w:rPr>
        <w:t>op</w:t>
      </w:r>
      <w:r w:rsidR="006C3690">
        <w:rPr>
          <w:sz w:val="24"/>
          <w:szCs w:val="24"/>
          <w:lang w:val="nl-NL"/>
        </w:rPr>
        <w:t xml:space="preserve"> een verdere </w:t>
      </w:r>
      <w:r w:rsidR="005219AA">
        <w:rPr>
          <w:sz w:val="24"/>
          <w:szCs w:val="24"/>
          <w:lang w:val="nl-NL"/>
        </w:rPr>
        <w:t xml:space="preserve">daling. </w:t>
      </w:r>
      <w:r w:rsidR="00DD6381">
        <w:rPr>
          <w:sz w:val="24"/>
          <w:szCs w:val="24"/>
          <w:lang w:val="nl-NL"/>
        </w:rPr>
        <w:t xml:space="preserve"> </w:t>
      </w:r>
      <w:r w:rsidR="00D234E1" w:rsidRPr="00D234E1">
        <w:rPr>
          <w:sz w:val="24"/>
          <w:szCs w:val="24"/>
          <w:lang w:val="nl-NL"/>
        </w:rPr>
        <w:t xml:space="preserve">Na achtereenvolgens </w:t>
      </w:r>
      <w:r w:rsidR="00D234E1">
        <w:rPr>
          <w:sz w:val="24"/>
          <w:szCs w:val="24"/>
          <w:lang w:val="nl-NL"/>
        </w:rPr>
        <w:t>-1,0</w:t>
      </w:r>
      <w:r w:rsidR="00A20D78">
        <w:rPr>
          <w:sz w:val="24"/>
          <w:szCs w:val="24"/>
          <w:lang w:val="nl-NL"/>
        </w:rPr>
        <w:t xml:space="preserve"> procent</w:t>
      </w:r>
      <w:r w:rsidR="00D234E1" w:rsidRPr="00D234E1">
        <w:rPr>
          <w:sz w:val="24"/>
          <w:szCs w:val="24"/>
          <w:lang w:val="nl-NL"/>
        </w:rPr>
        <w:t xml:space="preserve"> en </w:t>
      </w:r>
      <w:r w:rsidR="00D234E1">
        <w:rPr>
          <w:sz w:val="24"/>
          <w:szCs w:val="24"/>
          <w:lang w:val="nl-NL"/>
        </w:rPr>
        <w:t>-1,7</w:t>
      </w:r>
      <w:r w:rsidR="00A20D78">
        <w:rPr>
          <w:sz w:val="24"/>
          <w:szCs w:val="24"/>
          <w:lang w:val="nl-NL"/>
        </w:rPr>
        <w:t xml:space="preserve"> procent</w:t>
      </w:r>
      <w:r w:rsidR="00D234E1">
        <w:rPr>
          <w:sz w:val="24"/>
          <w:szCs w:val="24"/>
          <w:lang w:val="nl-NL"/>
        </w:rPr>
        <w:t xml:space="preserve"> in 2016</w:t>
      </w:r>
      <w:r w:rsidR="00D234E1" w:rsidRPr="00D234E1">
        <w:rPr>
          <w:sz w:val="24"/>
          <w:szCs w:val="24"/>
          <w:lang w:val="nl-NL"/>
        </w:rPr>
        <w:t xml:space="preserve"> en 201</w:t>
      </w:r>
      <w:r w:rsidR="00D234E1">
        <w:rPr>
          <w:sz w:val="24"/>
          <w:szCs w:val="24"/>
          <w:lang w:val="nl-NL"/>
        </w:rPr>
        <w:t>7</w:t>
      </w:r>
      <w:r w:rsidR="00D234E1" w:rsidRPr="00D234E1">
        <w:rPr>
          <w:sz w:val="24"/>
          <w:szCs w:val="24"/>
          <w:lang w:val="nl-NL"/>
        </w:rPr>
        <w:t xml:space="preserve">, </w:t>
      </w:r>
      <w:r w:rsidR="00D234E1">
        <w:rPr>
          <w:sz w:val="24"/>
          <w:szCs w:val="24"/>
          <w:lang w:val="nl-NL"/>
        </w:rPr>
        <w:t xml:space="preserve">zet </w:t>
      </w:r>
      <w:r w:rsidR="009F32EB">
        <w:rPr>
          <w:sz w:val="24"/>
          <w:szCs w:val="24"/>
          <w:lang w:val="nl-NL"/>
        </w:rPr>
        <w:t>de minder</w:t>
      </w:r>
      <w:r w:rsidR="00A20D78">
        <w:rPr>
          <w:sz w:val="24"/>
          <w:szCs w:val="24"/>
          <w:lang w:val="nl-NL"/>
        </w:rPr>
        <w:t>ing van</w:t>
      </w:r>
      <w:r w:rsidR="00D234E1" w:rsidRPr="00D234E1">
        <w:rPr>
          <w:sz w:val="24"/>
          <w:szCs w:val="24"/>
          <w:lang w:val="nl-NL"/>
        </w:rPr>
        <w:t xml:space="preserve"> de groei van het bruto binnenlands product (bbp)</w:t>
      </w:r>
      <w:r w:rsidR="00A20D78">
        <w:rPr>
          <w:sz w:val="24"/>
          <w:szCs w:val="24"/>
          <w:lang w:val="nl-NL"/>
        </w:rPr>
        <w:t xml:space="preserve"> voort</w:t>
      </w:r>
      <w:r w:rsidR="00D234E1" w:rsidRPr="00D234E1">
        <w:rPr>
          <w:sz w:val="24"/>
          <w:szCs w:val="24"/>
          <w:lang w:val="nl-NL"/>
        </w:rPr>
        <w:t xml:space="preserve"> in 201</w:t>
      </w:r>
      <w:r w:rsidR="00A20D78">
        <w:rPr>
          <w:sz w:val="24"/>
          <w:szCs w:val="24"/>
          <w:lang w:val="nl-NL"/>
        </w:rPr>
        <w:t>8</w:t>
      </w:r>
      <w:r w:rsidR="00D234E1" w:rsidRPr="00D234E1">
        <w:rPr>
          <w:sz w:val="24"/>
          <w:szCs w:val="24"/>
          <w:lang w:val="nl-NL"/>
        </w:rPr>
        <w:t xml:space="preserve"> </w:t>
      </w:r>
      <w:r w:rsidR="00A20D78">
        <w:rPr>
          <w:sz w:val="24"/>
          <w:szCs w:val="24"/>
          <w:lang w:val="nl-NL"/>
        </w:rPr>
        <w:t>met</w:t>
      </w:r>
      <w:r w:rsidR="00D234E1" w:rsidRPr="00D234E1">
        <w:rPr>
          <w:sz w:val="24"/>
          <w:szCs w:val="24"/>
          <w:lang w:val="nl-NL"/>
        </w:rPr>
        <w:t xml:space="preserve"> </w:t>
      </w:r>
      <w:r w:rsidR="00844B3A" w:rsidRPr="00AB0FE2">
        <w:rPr>
          <w:sz w:val="24"/>
          <w:szCs w:val="24"/>
          <w:lang w:val="nl-NL"/>
        </w:rPr>
        <w:t>2,2</w:t>
      </w:r>
      <w:r w:rsidR="0060051A" w:rsidRPr="00AB0FE2">
        <w:rPr>
          <w:sz w:val="24"/>
          <w:szCs w:val="24"/>
          <w:lang w:val="nl-NL"/>
        </w:rPr>
        <w:t xml:space="preserve"> </w:t>
      </w:r>
      <w:r w:rsidR="00295984" w:rsidRPr="0060051A">
        <w:rPr>
          <w:sz w:val="24"/>
          <w:szCs w:val="24"/>
          <w:lang w:val="nl-NL"/>
        </w:rPr>
        <w:t>procent</w:t>
      </w:r>
      <w:r w:rsidR="0060051A">
        <w:rPr>
          <w:sz w:val="24"/>
          <w:szCs w:val="24"/>
          <w:lang w:val="nl-NL"/>
        </w:rPr>
        <w:t>.</w:t>
      </w:r>
    </w:p>
    <w:p w:rsidR="00B4267E" w:rsidRPr="006C66D1" w:rsidRDefault="00B4267E" w:rsidP="00A7204F">
      <w:pPr>
        <w:jc w:val="both"/>
        <w:rPr>
          <w:sz w:val="24"/>
          <w:szCs w:val="24"/>
          <w:lang w:val="nl-NL"/>
        </w:rPr>
      </w:pPr>
      <w:r w:rsidRPr="006C66D1">
        <w:rPr>
          <w:sz w:val="24"/>
          <w:szCs w:val="24"/>
          <w:lang w:val="nl-NL"/>
        </w:rPr>
        <w:t xml:space="preserve">De eerste voorlopige berekeningen met betrekking tot de economische ontwikkeling </w:t>
      </w:r>
      <w:r w:rsidR="004B2973">
        <w:rPr>
          <w:sz w:val="24"/>
          <w:szCs w:val="24"/>
          <w:lang w:val="nl-NL"/>
        </w:rPr>
        <w:t>in</w:t>
      </w:r>
      <w:r w:rsidRPr="006C66D1">
        <w:rPr>
          <w:sz w:val="24"/>
          <w:szCs w:val="24"/>
          <w:lang w:val="nl-NL"/>
        </w:rPr>
        <w:t xml:space="preserve"> Curaçao hebben betrekking op de reële ontwikkelingen, dat wil zeggen, dat zij gecorrigeerd zijn voor prijsontwikkelingen. Dit blijkt uit de gegevens die het Centraal Bureau voor de Statistiek Curaçao (CBS) vandaag bekend heeft gemaakt.</w:t>
      </w:r>
      <w:r w:rsidR="00054CD0" w:rsidRPr="006C66D1">
        <w:rPr>
          <w:sz w:val="24"/>
          <w:szCs w:val="24"/>
          <w:lang w:val="nl-NL"/>
        </w:rPr>
        <w:t xml:space="preserve"> </w:t>
      </w:r>
    </w:p>
    <w:p w:rsidR="00B4267E" w:rsidRPr="006C66D1" w:rsidRDefault="00B4267E" w:rsidP="00A7204F">
      <w:pPr>
        <w:jc w:val="both"/>
        <w:rPr>
          <w:sz w:val="24"/>
          <w:szCs w:val="24"/>
          <w:lang w:val="nl-NL"/>
        </w:rPr>
      </w:pPr>
      <w:r w:rsidRPr="006C66D1">
        <w:rPr>
          <w:sz w:val="24"/>
          <w:szCs w:val="24"/>
          <w:lang w:val="nl-NL"/>
        </w:rPr>
        <w:t xml:space="preserve">De economische groei wordt berekend aan de hand van de volumegroei in het productieproces en de conjunctuurontwikkeling. Deze gegevens zijn nog voorlopig, omdat nog niet over volledige gegevens van alle bedrijfstakken kan worden beschikt. De economische indicatoren zijn </w:t>
      </w:r>
      <w:r w:rsidRPr="006C66D1">
        <w:rPr>
          <w:sz w:val="24"/>
          <w:szCs w:val="24"/>
          <w:lang w:val="nl-NL"/>
        </w:rPr>
        <w:lastRenderedPageBreak/>
        <w:t xml:space="preserve">statistieken die de huidige status van de economie van een land aangeven, afhankelijk van een bepaald gebied van de economie (zoals de industrie, de werkgelegenheid, de </w:t>
      </w:r>
      <w:r w:rsidR="009F32EB">
        <w:rPr>
          <w:sz w:val="24"/>
          <w:szCs w:val="24"/>
          <w:lang w:val="nl-NL"/>
        </w:rPr>
        <w:t>prijzen</w:t>
      </w:r>
      <w:r w:rsidRPr="006C66D1">
        <w:rPr>
          <w:sz w:val="24"/>
          <w:szCs w:val="24"/>
          <w:lang w:val="nl-NL"/>
        </w:rPr>
        <w:t xml:space="preserve">, etc.). </w:t>
      </w:r>
    </w:p>
    <w:p w:rsidR="00681060" w:rsidRPr="00E329A9" w:rsidRDefault="00F95434" w:rsidP="001C0559">
      <w:pPr>
        <w:jc w:val="both"/>
        <w:rPr>
          <w:strike/>
          <w:color w:val="FF0000"/>
          <w:sz w:val="24"/>
          <w:szCs w:val="24"/>
          <w:lang w:val="nl-NL"/>
        </w:rPr>
      </w:pPr>
      <w:r>
        <w:rPr>
          <w:sz w:val="24"/>
          <w:szCs w:val="24"/>
          <w:lang w:val="nl-NL"/>
        </w:rPr>
        <w:t xml:space="preserve">Op de arbeidsmarkt blijkt dat er een werkloosheid </w:t>
      </w:r>
      <w:r w:rsidR="009F32EB">
        <w:rPr>
          <w:sz w:val="24"/>
          <w:szCs w:val="24"/>
          <w:lang w:val="nl-NL"/>
        </w:rPr>
        <w:t xml:space="preserve">is </w:t>
      </w:r>
      <w:r>
        <w:rPr>
          <w:sz w:val="24"/>
          <w:szCs w:val="24"/>
          <w:lang w:val="nl-NL"/>
        </w:rPr>
        <w:t>van 13,4 procent</w:t>
      </w:r>
      <w:r w:rsidR="00A73500">
        <w:rPr>
          <w:sz w:val="24"/>
          <w:szCs w:val="24"/>
          <w:lang w:val="nl-NL"/>
        </w:rPr>
        <w:t xml:space="preserve">, welke </w:t>
      </w:r>
      <w:r w:rsidR="00E329A9">
        <w:rPr>
          <w:sz w:val="24"/>
          <w:szCs w:val="24"/>
          <w:lang w:val="nl-NL"/>
        </w:rPr>
        <w:t>kwantiteit</w:t>
      </w:r>
      <w:r w:rsidR="00A73500">
        <w:rPr>
          <w:sz w:val="24"/>
          <w:szCs w:val="24"/>
          <w:lang w:val="nl-NL"/>
        </w:rPr>
        <w:t xml:space="preserve"> is verlaagd,</w:t>
      </w:r>
      <w:r w:rsidR="00C35447">
        <w:rPr>
          <w:sz w:val="24"/>
          <w:szCs w:val="24"/>
          <w:lang w:val="nl-NL"/>
        </w:rPr>
        <w:t xml:space="preserve"> vergeleken met 2017, </w:t>
      </w:r>
      <w:r w:rsidR="000E5DC4">
        <w:rPr>
          <w:sz w:val="24"/>
          <w:szCs w:val="24"/>
          <w:lang w:val="nl-NL"/>
        </w:rPr>
        <w:t xml:space="preserve">jeugdwerkloosheid van </w:t>
      </w:r>
      <w:r w:rsidR="00E329A9">
        <w:rPr>
          <w:sz w:val="24"/>
          <w:szCs w:val="24"/>
          <w:lang w:val="nl-NL"/>
        </w:rPr>
        <w:t>29</w:t>
      </w:r>
      <w:r w:rsidR="001123EC">
        <w:rPr>
          <w:sz w:val="24"/>
          <w:szCs w:val="24"/>
          <w:lang w:val="nl-NL"/>
        </w:rPr>
        <w:t>,</w:t>
      </w:r>
      <w:r w:rsidR="00E329A9">
        <w:rPr>
          <w:sz w:val="24"/>
          <w:szCs w:val="24"/>
          <w:lang w:val="nl-NL"/>
        </w:rPr>
        <w:t>3</w:t>
      </w:r>
      <w:r w:rsidR="000E5DC4">
        <w:rPr>
          <w:sz w:val="24"/>
          <w:szCs w:val="24"/>
          <w:lang w:val="nl-NL"/>
        </w:rPr>
        <w:t xml:space="preserve"> procent</w:t>
      </w:r>
      <w:r w:rsidR="00C35447">
        <w:rPr>
          <w:sz w:val="24"/>
          <w:szCs w:val="24"/>
          <w:lang w:val="nl-NL"/>
        </w:rPr>
        <w:t xml:space="preserve"> </w:t>
      </w:r>
      <w:r w:rsidR="00C35447" w:rsidRPr="00C35447">
        <w:rPr>
          <w:sz w:val="24"/>
          <w:szCs w:val="24"/>
          <w:lang w:val="nl-NL"/>
        </w:rPr>
        <w:t>(zie AKO-resultaten</w:t>
      </w:r>
      <w:r w:rsidR="009F32EB">
        <w:rPr>
          <w:sz w:val="24"/>
          <w:szCs w:val="24"/>
          <w:lang w:val="nl-NL"/>
        </w:rPr>
        <w:t xml:space="preserve"> en uitleg</w:t>
      </w:r>
      <w:r w:rsidR="00C35447" w:rsidRPr="00C35447">
        <w:rPr>
          <w:sz w:val="24"/>
          <w:szCs w:val="24"/>
          <w:lang w:val="nl-NL"/>
        </w:rPr>
        <w:t xml:space="preserve"> op de </w:t>
      </w:r>
      <w:r w:rsidR="00B84005">
        <w:rPr>
          <w:sz w:val="24"/>
          <w:szCs w:val="24"/>
          <w:lang w:val="nl-NL"/>
        </w:rPr>
        <w:t>CBS-website</w:t>
      </w:r>
      <w:r w:rsidR="00C35447" w:rsidRPr="00C35447">
        <w:rPr>
          <w:sz w:val="24"/>
          <w:szCs w:val="24"/>
          <w:lang w:val="nl-NL"/>
        </w:rPr>
        <w:t>).</w:t>
      </w:r>
      <w:r w:rsidR="00837AF6" w:rsidRPr="00837AF6">
        <w:rPr>
          <w:sz w:val="24"/>
          <w:szCs w:val="24"/>
          <w:lang w:val="nl-NL"/>
        </w:rPr>
        <w:t xml:space="preserve"> </w:t>
      </w:r>
      <w:r w:rsidR="00C35447">
        <w:rPr>
          <w:sz w:val="24"/>
          <w:szCs w:val="24"/>
          <w:lang w:val="nl-NL"/>
        </w:rPr>
        <w:t xml:space="preserve">Hierbij speelt ook </w:t>
      </w:r>
      <w:r w:rsidR="00837AF6" w:rsidRPr="00837AF6">
        <w:rPr>
          <w:sz w:val="24"/>
          <w:szCs w:val="24"/>
          <w:lang w:val="nl-NL"/>
        </w:rPr>
        <w:t xml:space="preserve">een geringe economische bedrijvigheid </w:t>
      </w:r>
      <w:r w:rsidR="00C35447">
        <w:rPr>
          <w:sz w:val="24"/>
          <w:szCs w:val="24"/>
          <w:lang w:val="nl-NL"/>
        </w:rPr>
        <w:t xml:space="preserve">volgens de conjunctuur enquête </w:t>
      </w:r>
      <w:r w:rsidR="00837AF6" w:rsidRPr="00837AF6">
        <w:rPr>
          <w:sz w:val="24"/>
          <w:szCs w:val="24"/>
          <w:lang w:val="nl-NL"/>
        </w:rPr>
        <w:t xml:space="preserve">en een </w:t>
      </w:r>
      <w:r w:rsidR="005219AA">
        <w:rPr>
          <w:sz w:val="24"/>
          <w:szCs w:val="24"/>
          <w:lang w:val="nl-NL"/>
        </w:rPr>
        <w:t xml:space="preserve">stijging van de consumentenprijzen, waardoor de inflatie uitkomt tot </w:t>
      </w:r>
      <w:r w:rsidR="00C35447">
        <w:rPr>
          <w:sz w:val="24"/>
          <w:szCs w:val="24"/>
          <w:lang w:val="nl-NL"/>
        </w:rPr>
        <w:t>2</w:t>
      </w:r>
      <w:r w:rsidR="00F818FE">
        <w:rPr>
          <w:sz w:val="24"/>
          <w:szCs w:val="24"/>
          <w:lang w:val="nl-NL"/>
        </w:rPr>
        <w:t>,</w:t>
      </w:r>
      <w:r w:rsidR="000E5DC4">
        <w:rPr>
          <w:sz w:val="24"/>
          <w:szCs w:val="24"/>
          <w:lang w:val="nl-NL"/>
        </w:rPr>
        <w:t>6 procent</w:t>
      </w:r>
      <w:r w:rsidR="005219AA">
        <w:rPr>
          <w:sz w:val="24"/>
          <w:szCs w:val="24"/>
          <w:lang w:val="nl-NL"/>
        </w:rPr>
        <w:t xml:space="preserve"> in 2018.</w:t>
      </w:r>
      <w:r w:rsidR="00B4267E" w:rsidRPr="006C66D1">
        <w:rPr>
          <w:sz w:val="24"/>
          <w:szCs w:val="24"/>
          <w:lang w:val="nl-NL"/>
        </w:rPr>
        <w:t xml:space="preserve"> </w:t>
      </w:r>
    </w:p>
    <w:p w:rsidR="00B4267E" w:rsidRPr="006C66D1" w:rsidRDefault="00974798" w:rsidP="00960EDE">
      <w:pPr>
        <w:pStyle w:val="Heading2"/>
        <w:rPr>
          <w:i/>
          <w:sz w:val="24"/>
          <w:szCs w:val="24"/>
          <w:lang w:val="nl-NL"/>
        </w:rPr>
      </w:pPr>
      <w:r w:rsidRPr="006C66D1">
        <w:rPr>
          <w:lang w:val="nl-NL"/>
        </w:rPr>
        <w:t xml:space="preserve">De economische ontwikkeling </w:t>
      </w:r>
    </w:p>
    <w:p w:rsidR="00457003" w:rsidRDefault="005219AA" w:rsidP="005E76E8">
      <w:pPr>
        <w:jc w:val="both"/>
        <w:rPr>
          <w:sz w:val="24"/>
          <w:szCs w:val="24"/>
          <w:lang w:val="nl-NL"/>
        </w:rPr>
      </w:pPr>
      <w:r>
        <w:rPr>
          <w:sz w:val="24"/>
          <w:szCs w:val="24"/>
          <w:lang w:val="nl-NL"/>
        </w:rPr>
        <w:t xml:space="preserve">Het </w:t>
      </w:r>
      <w:r w:rsidR="00025263">
        <w:rPr>
          <w:sz w:val="24"/>
          <w:szCs w:val="24"/>
          <w:lang w:val="nl-NL"/>
        </w:rPr>
        <w:t xml:space="preserve">jaar 2018 startte met regionale spanningen, sluiting van de grenzen tussen landen, </w:t>
      </w:r>
      <w:r w:rsidR="00025263" w:rsidRPr="00025263">
        <w:rPr>
          <w:sz w:val="24"/>
          <w:szCs w:val="24"/>
          <w:lang w:val="nl-NL"/>
        </w:rPr>
        <w:t xml:space="preserve">escalerende handelsspanningen, </w:t>
      </w:r>
      <w:r w:rsidR="00025263">
        <w:rPr>
          <w:sz w:val="24"/>
          <w:szCs w:val="24"/>
          <w:lang w:val="nl-NL"/>
        </w:rPr>
        <w:t xml:space="preserve">en </w:t>
      </w:r>
      <w:r w:rsidR="00025263" w:rsidRPr="00025263">
        <w:rPr>
          <w:sz w:val="24"/>
          <w:szCs w:val="24"/>
          <w:lang w:val="nl-NL"/>
        </w:rPr>
        <w:t>strengere financiële omstandigheden</w:t>
      </w:r>
      <w:r w:rsidR="00025263">
        <w:rPr>
          <w:sz w:val="24"/>
          <w:szCs w:val="24"/>
          <w:lang w:val="nl-NL"/>
        </w:rPr>
        <w:t xml:space="preserve"> welke allemaal invloed hebben op onze </w:t>
      </w:r>
      <w:r w:rsidR="002361C0">
        <w:rPr>
          <w:sz w:val="24"/>
          <w:szCs w:val="24"/>
          <w:lang w:val="nl-NL"/>
        </w:rPr>
        <w:t xml:space="preserve">economie. </w:t>
      </w:r>
      <w:r w:rsidR="00025263" w:rsidRPr="00025263">
        <w:rPr>
          <w:sz w:val="24"/>
          <w:szCs w:val="24"/>
          <w:lang w:val="nl-NL"/>
        </w:rPr>
        <w:t xml:space="preserve"> </w:t>
      </w:r>
      <w:r w:rsidR="00DC69D5">
        <w:rPr>
          <w:sz w:val="24"/>
          <w:szCs w:val="24"/>
          <w:lang w:val="nl-NL"/>
        </w:rPr>
        <w:t>D</w:t>
      </w:r>
      <w:r w:rsidR="00B4267E" w:rsidRPr="006C66D1">
        <w:rPr>
          <w:sz w:val="24"/>
          <w:szCs w:val="24"/>
          <w:lang w:val="nl-NL"/>
        </w:rPr>
        <w:t xml:space="preserve">e </w:t>
      </w:r>
      <w:r w:rsidR="001C0559">
        <w:rPr>
          <w:sz w:val="24"/>
          <w:szCs w:val="24"/>
          <w:lang w:val="nl-NL"/>
        </w:rPr>
        <w:t xml:space="preserve">reële </w:t>
      </w:r>
      <w:r w:rsidR="00B4267E" w:rsidRPr="006C66D1">
        <w:rPr>
          <w:sz w:val="24"/>
          <w:szCs w:val="24"/>
          <w:lang w:val="nl-NL"/>
        </w:rPr>
        <w:t xml:space="preserve">groei van de </w:t>
      </w:r>
      <w:r w:rsidR="00F532E2" w:rsidRPr="006C66D1">
        <w:rPr>
          <w:sz w:val="24"/>
          <w:szCs w:val="24"/>
          <w:lang w:val="nl-NL"/>
        </w:rPr>
        <w:t xml:space="preserve">economische activiteiten </w:t>
      </w:r>
      <w:r w:rsidR="00DC69D5">
        <w:rPr>
          <w:sz w:val="24"/>
          <w:szCs w:val="24"/>
          <w:lang w:val="nl-NL"/>
        </w:rPr>
        <w:t>heeft</w:t>
      </w:r>
      <w:r w:rsidR="00B06CF5">
        <w:rPr>
          <w:sz w:val="24"/>
          <w:szCs w:val="24"/>
          <w:lang w:val="nl-NL"/>
        </w:rPr>
        <w:t xml:space="preserve"> </w:t>
      </w:r>
      <w:r>
        <w:rPr>
          <w:sz w:val="24"/>
          <w:szCs w:val="24"/>
          <w:lang w:val="nl-NL"/>
        </w:rPr>
        <w:t xml:space="preserve">zich </w:t>
      </w:r>
      <w:r w:rsidR="00B06CF5" w:rsidRPr="006C66D1">
        <w:rPr>
          <w:sz w:val="24"/>
          <w:szCs w:val="24"/>
          <w:lang w:val="nl-NL"/>
        </w:rPr>
        <w:t>voornamelijk</w:t>
      </w:r>
      <w:r w:rsidR="00B06CF5">
        <w:rPr>
          <w:sz w:val="24"/>
          <w:szCs w:val="24"/>
          <w:lang w:val="nl-NL"/>
        </w:rPr>
        <w:t xml:space="preserve"> plaatsgevonden in</w:t>
      </w:r>
      <w:r w:rsidR="00B4267E" w:rsidRPr="006C66D1">
        <w:rPr>
          <w:sz w:val="24"/>
          <w:szCs w:val="24"/>
          <w:lang w:val="nl-NL"/>
        </w:rPr>
        <w:t xml:space="preserve"> de bedrijfstakken: </w:t>
      </w:r>
      <w:r w:rsidR="005E76E8">
        <w:rPr>
          <w:sz w:val="24"/>
          <w:szCs w:val="24"/>
          <w:lang w:val="nl-NL"/>
        </w:rPr>
        <w:t>“Horeca</w:t>
      </w:r>
      <w:r w:rsidR="009B3881" w:rsidRPr="006C66D1">
        <w:rPr>
          <w:sz w:val="24"/>
          <w:szCs w:val="24"/>
          <w:lang w:val="nl-NL"/>
        </w:rPr>
        <w:t>” (</w:t>
      </w:r>
      <w:r w:rsidR="005E76E8">
        <w:rPr>
          <w:sz w:val="24"/>
          <w:szCs w:val="24"/>
          <w:lang w:val="nl-NL"/>
        </w:rPr>
        <w:t>8,2%),</w:t>
      </w:r>
      <w:r w:rsidR="00457003">
        <w:rPr>
          <w:sz w:val="24"/>
          <w:szCs w:val="24"/>
          <w:lang w:val="nl-NL"/>
        </w:rPr>
        <w:t xml:space="preserve"> </w:t>
      </w:r>
      <w:r w:rsidR="00A931BB">
        <w:rPr>
          <w:sz w:val="24"/>
          <w:szCs w:val="24"/>
          <w:lang w:val="nl-NL"/>
        </w:rPr>
        <w:t>P</w:t>
      </w:r>
      <w:r w:rsidR="00BC6469">
        <w:rPr>
          <w:sz w:val="24"/>
          <w:szCs w:val="24"/>
          <w:lang w:val="nl-NL"/>
        </w:rPr>
        <w:t>articulier</w:t>
      </w:r>
      <w:r w:rsidR="005E76E8">
        <w:rPr>
          <w:sz w:val="24"/>
          <w:szCs w:val="24"/>
          <w:lang w:val="nl-NL"/>
        </w:rPr>
        <w:t xml:space="preserve"> Onderwijs</w:t>
      </w:r>
      <w:r w:rsidR="00B4267E" w:rsidRPr="006C66D1">
        <w:rPr>
          <w:sz w:val="24"/>
          <w:szCs w:val="24"/>
          <w:lang w:val="nl-NL"/>
        </w:rPr>
        <w:t>” (</w:t>
      </w:r>
      <w:r w:rsidR="005E76E8">
        <w:rPr>
          <w:sz w:val="24"/>
          <w:szCs w:val="24"/>
          <w:lang w:val="nl-NL"/>
        </w:rPr>
        <w:t>4,5</w:t>
      </w:r>
      <w:r w:rsidR="005E76E8" w:rsidRPr="006C66D1">
        <w:rPr>
          <w:sz w:val="24"/>
          <w:szCs w:val="24"/>
          <w:lang w:val="nl-NL"/>
        </w:rPr>
        <w:t>%)</w:t>
      </w:r>
      <w:r w:rsidR="005E76E8">
        <w:rPr>
          <w:sz w:val="24"/>
          <w:szCs w:val="24"/>
          <w:lang w:val="nl-NL"/>
        </w:rPr>
        <w:t>, “Zakelijke diensten” (1,6%)</w:t>
      </w:r>
      <w:r>
        <w:rPr>
          <w:sz w:val="24"/>
          <w:szCs w:val="24"/>
          <w:lang w:val="nl-NL"/>
        </w:rPr>
        <w:t>, “Financiele Bemiddeling” (0,9%),</w:t>
      </w:r>
      <w:r w:rsidR="005E76E8">
        <w:rPr>
          <w:sz w:val="24"/>
          <w:szCs w:val="24"/>
          <w:lang w:val="nl-NL"/>
        </w:rPr>
        <w:t xml:space="preserve"> en </w:t>
      </w:r>
      <w:r w:rsidR="005E76E8" w:rsidRPr="005E76E8">
        <w:rPr>
          <w:sz w:val="24"/>
          <w:szCs w:val="24"/>
          <w:lang w:val="nl-NL"/>
        </w:rPr>
        <w:t>“Gezondheidszorg</w:t>
      </w:r>
      <w:r w:rsidR="00536F72" w:rsidRPr="005E76E8">
        <w:rPr>
          <w:sz w:val="24"/>
          <w:szCs w:val="24"/>
          <w:lang w:val="nl-NL"/>
        </w:rPr>
        <w:t>”</w:t>
      </w:r>
      <w:r w:rsidR="00536F72">
        <w:rPr>
          <w:sz w:val="24"/>
          <w:szCs w:val="24"/>
          <w:lang w:val="nl-NL"/>
        </w:rPr>
        <w:t xml:space="preserve"> (</w:t>
      </w:r>
      <w:r w:rsidR="005E76E8">
        <w:rPr>
          <w:sz w:val="24"/>
          <w:szCs w:val="24"/>
          <w:lang w:val="nl-NL"/>
        </w:rPr>
        <w:t>0,7%).</w:t>
      </w:r>
      <w:r w:rsidR="00411F31">
        <w:rPr>
          <w:sz w:val="24"/>
          <w:szCs w:val="24"/>
          <w:lang w:val="nl-NL"/>
        </w:rPr>
        <w:t xml:space="preserve"> </w:t>
      </w:r>
      <w:r>
        <w:rPr>
          <w:sz w:val="24"/>
          <w:szCs w:val="24"/>
          <w:lang w:val="nl-NL"/>
        </w:rPr>
        <w:t>De andere bedrijfstakken vertonen een daling in 2018.</w:t>
      </w:r>
      <w:r w:rsidR="00BC6469">
        <w:rPr>
          <w:sz w:val="24"/>
          <w:szCs w:val="24"/>
          <w:lang w:val="nl-NL"/>
        </w:rPr>
        <w:t xml:space="preserve"> Als volgt een overzicht van de </w:t>
      </w:r>
      <w:r>
        <w:rPr>
          <w:sz w:val="24"/>
          <w:szCs w:val="24"/>
          <w:lang w:val="nl-NL"/>
        </w:rPr>
        <w:t>economische actitviteiten in 2018:</w:t>
      </w:r>
    </w:p>
    <w:p w:rsidR="00B84005" w:rsidRPr="00B84005" w:rsidRDefault="00B84005" w:rsidP="00B84005">
      <w:pPr>
        <w:jc w:val="both"/>
        <w:rPr>
          <w:sz w:val="24"/>
          <w:szCs w:val="24"/>
          <w:lang w:val="nl-NL"/>
        </w:rPr>
      </w:pPr>
      <w:r w:rsidRPr="00B84005">
        <w:rPr>
          <w:sz w:val="24"/>
          <w:szCs w:val="24"/>
          <w:lang w:val="nl-NL"/>
        </w:rPr>
        <w:t xml:space="preserve">De toegevoegde waarde van </w:t>
      </w:r>
      <w:r>
        <w:rPr>
          <w:i/>
          <w:sz w:val="24"/>
          <w:szCs w:val="24"/>
          <w:lang w:val="nl-NL"/>
        </w:rPr>
        <w:t>L</w:t>
      </w:r>
      <w:r w:rsidRPr="00B84005">
        <w:rPr>
          <w:i/>
          <w:sz w:val="24"/>
          <w:szCs w:val="24"/>
          <w:lang w:val="nl-NL"/>
        </w:rPr>
        <w:t>andbouw, visserij en mijnbouw</w:t>
      </w:r>
      <w:r w:rsidRPr="00B84005">
        <w:rPr>
          <w:sz w:val="24"/>
          <w:szCs w:val="24"/>
          <w:lang w:val="nl-NL"/>
        </w:rPr>
        <w:t xml:space="preserve"> is blijven dalen met 5,3 procent (in 2018), in het voorgaand jaar was er een daling van min of meer 2 procent.</w:t>
      </w:r>
    </w:p>
    <w:p w:rsidR="00B84005" w:rsidRPr="00B84005" w:rsidRDefault="00A7390C" w:rsidP="00B84005">
      <w:pPr>
        <w:jc w:val="both"/>
        <w:rPr>
          <w:sz w:val="24"/>
          <w:szCs w:val="24"/>
          <w:lang w:val="nl-NL"/>
        </w:rPr>
      </w:pPr>
      <w:r>
        <w:rPr>
          <w:sz w:val="24"/>
          <w:szCs w:val="24"/>
          <w:lang w:val="nl-NL"/>
        </w:rPr>
        <w:t>De blijvende zwakte van de i</w:t>
      </w:r>
      <w:r w:rsidRPr="00A7390C">
        <w:rPr>
          <w:sz w:val="24"/>
          <w:szCs w:val="24"/>
          <w:lang w:val="nl-NL"/>
        </w:rPr>
        <w:t>ndustri</w:t>
      </w:r>
      <w:r>
        <w:rPr>
          <w:rFonts w:cs="Calibri"/>
          <w:sz w:val="24"/>
          <w:szCs w:val="24"/>
          <w:lang w:val="nl-NL"/>
        </w:rPr>
        <w:t>ë</w:t>
      </w:r>
      <w:r w:rsidRPr="00A7390C">
        <w:rPr>
          <w:sz w:val="24"/>
          <w:szCs w:val="24"/>
          <w:lang w:val="nl-NL"/>
        </w:rPr>
        <w:t xml:space="preserve">le </w:t>
      </w:r>
      <w:r w:rsidR="00B84005" w:rsidRPr="00A7390C">
        <w:rPr>
          <w:sz w:val="24"/>
          <w:szCs w:val="24"/>
          <w:lang w:val="nl-NL"/>
        </w:rPr>
        <w:t>activiteiten</w:t>
      </w:r>
      <w:r w:rsidR="00B84005" w:rsidRPr="00B84005">
        <w:rPr>
          <w:sz w:val="24"/>
          <w:szCs w:val="24"/>
          <w:lang w:val="nl-NL"/>
        </w:rPr>
        <w:t xml:space="preserve"> zet</w:t>
      </w:r>
      <w:r>
        <w:rPr>
          <w:sz w:val="24"/>
          <w:szCs w:val="24"/>
          <w:lang w:val="nl-NL"/>
        </w:rPr>
        <w:t>ten</w:t>
      </w:r>
      <w:r w:rsidR="00B84005" w:rsidRPr="00B84005">
        <w:rPr>
          <w:sz w:val="24"/>
          <w:szCs w:val="24"/>
          <w:lang w:val="nl-NL"/>
        </w:rPr>
        <w:t xml:space="preserve"> door in</w:t>
      </w:r>
      <w:r>
        <w:rPr>
          <w:sz w:val="24"/>
          <w:szCs w:val="24"/>
          <w:lang w:val="nl-NL"/>
        </w:rPr>
        <w:t xml:space="preserve"> een daling van </w:t>
      </w:r>
      <w:r w:rsidR="00B84005" w:rsidRPr="00B84005">
        <w:rPr>
          <w:sz w:val="24"/>
          <w:szCs w:val="24"/>
          <w:lang w:val="nl-NL"/>
        </w:rPr>
        <w:t>14,3 procent</w:t>
      </w:r>
      <w:r>
        <w:rPr>
          <w:sz w:val="24"/>
          <w:szCs w:val="24"/>
          <w:lang w:val="nl-NL"/>
        </w:rPr>
        <w:t xml:space="preserve"> </w:t>
      </w:r>
      <w:r w:rsidR="00135953">
        <w:rPr>
          <w:sz w:val="24"/>
          <w:szCs w:val="24"/>
          <w:lang w:val="nl-NL"/>
        </w:rPr>
        <w:t xml:space="preserve">in </w:t>
      </w:r>
      <w:r>
        <w:rPr>
          <w:sz w:val="24"/>
          <w:szCs w:val="24"/>
          <w:lang w:val="nl-NL"/>
        </w:rPr>
        <w:t xml:space="preserve">de bedrijfstak </w:t>
      </w:r>
      <w:r w:rsidRPr="00A7390C">
        <w:rPr>
          <w:i/>
          <w:sz w:val="24"/>
          <w:szCs w:val="24"/>
          <w:lang w:val="nl-NL"/>
        </w:rPr>
        <w:t>Industrie</w:t>
      </w:r>
      <w:r w:rsidR="00B84005" w:rsidRPr="00A7390C">
        <w:rPr>
          <w:i/>
          <w:sz w:val="24"/>
          <w:szCs w:val="24"/>
          <w:lang w:val="nl-NL"/>
        </w:rPr>
        <w:t>.</w:t>
      </w:r>
      <w:r w:rsidR="00B84005" w:rsidRPr="00B84005">
        <w:rPr>
          <w:sz w:val="24"/>
          <w:szCs w:val="24"/>
          <w:lang w:val="nl-NL"/>
        </w:rPr>
        <w:t xml:space="preserve"> De oorzaak is met name in de olieraffinage activiteiten die van invloed zijn op de hele </w:t>
      </w:r>
      <w:r>
        <w:rPr>
          <w:sz w:val="24"/>
          <w:szCs w:val="24"/>
          <w:lang w:val="nl-NL"/>
        </w:rPr>
        <w:t>bedrijfstak</w:t>
      </w:r>
      <w:r w:rsidR="00B84005" w:rsidRPr="00B84005">
        <w:rPr>
          <w:sz w:val="24"/>
          <w:szCs w:val="24"/>
          <w:lang w:val="nl-NL"/>
        </w:rPr>
        <w:t xml:space="preserve"> en andere productieactiviteiten van bedrijven in 2018.</w:t>
      </w:r>
    </w:p>
    <w:p w:rsidR="00B84005" w:rsidRPr="00B84005" w:rsidRDefault="00B84005" w:rsidP="00B84005">
      <w:pPr>
        <w:jc w:val="both"/>
        <w:rPr>
          <w:sz w:val="24"/>
          <w:szCs w:val="24"/>
          <w:lang w:val="nl-NL"/>
        </w:rPr>
      </w:pPr>
      <w:r w:rsidRPr="00B84005">
        <w:rPr>
          <w:sz w:val="24"/>
          <w:szCs w:val="24"/>
          <w:lang w:val="nl-NL"/>
        </w:rPr>
        <w:t xml:space="preserve">De </w:t>
      </w:r>
      <w:r w:rsidRPr="00B84005">
        <w:rPr>
          <w:i/>
          <w:sz w:val="24"/>
          <w:szCs w:val="24"/>
          <w:lang w:val="nl-NL"/>
        </w:rPr>
        <w:t>Utiliteitsindustrie</w:t>
      </w:r>
      <w:r w:rsidRPr="00B84005">
        <w:rPr>
          <w:sz w:val="24"/>
          <w:szCs w:val="24"/>
          <w:lang w:val="nl-NL"/>
        </w:rPr>
        <w:t xml:space="preserve"> vertoont een krimp van bijna 1,7 procent in 2018. In deze bedrijfstak is er een verhoging in de volume-activiteit waargenomen van water</w:t>
      </w:r>
      <w:r w:rsidR="00C905B2">
        <w:rPr>
          <w:sz w:val="24"/>
          <w:szCs w:val="24"/>
          <w:lang w:val="nl-NL"/>
        </w:rPr>
        <w:t>, maar een daling in</w:t>
      </w:r>
      <w:r w:rsidRPr="00B84005">
        <w:rPr>
          <w:sz w:val="24"/>
          <w:szCs w:val="24"/>
          <w:lang w:val="nl-NL"/>
        </w:rPr>
        <w:t xml:space="preserve"> elektriciteit </w:t>
      </w:r>
      <w:r w:rsidR="00C905B2">
        <w:rPr>
          <w:sz w:val="24"/>
          <w:szCs w:val="24"/>
          <w:lang w:val="nl-NL"/>
        </w:rPr>
        <w:t>samengevoegd met</w:t>
      </w:r>
      <w:r w:rsidRPr="00B84005">
        <w:rPr>
          <w:sz w:val="24"/>
          <w:szCs w:val="24"/>
          <w:lang w:val="nl-NL"/>
        </w:rPr>
        <w:t xml:space="preserve"> de verhoging van de prijscomponent voor zowel water als elektriciteit is in 2018 een daling</w:t>
      </w:r>
      <w:r w:rsidR="00361B75">
        <w:rPr>
          <w:sz w:val="24"/>
          <w:szCs w:val="24"/>
          <w:lang w:val="nl-NL"/>
        </w:rPr>
        <w:t xml:space="preserve"> in deze bedrijfstak</w:t>
      </w:r>
      <w:r w:rsidRPr="00B84005">
        <w:rPr>
          <w:sz w:val="24"/>
          <w:szCs w:val="24"/>
          <w:lang w:val="nl-NL"/>
        </w:rPr>
        <w:t>.</w:t>
      </w:r>
    </w:p>
    <w:p w:rsidR="00B84005" w:rsidRPr="00B84005" w:rsidRDefault="00B84005" w:rsidP="00B84005">
      <w:pPr>
        <w:jc w:val="both"/>
        <w:rPr>
          <w:sz w:val="24"/>
          <w:szCs w:val="24"/>
          <w:lang w:val="nl-NL"/>
        </w:rPr>
      </w:pPr>
      <w:r>
        <w:rPr>
          <w:sz w:val="24"/>
          <w:szCs w:val="24"/>
          <w:lang w:val="nl-NL"/>
        </w:rPr>
        <w:t xml:space="preserve">De </w:t>
      </w:r>
      <w:r w:rsidRPr="00B84005">
        <w:rPr>
          <w:i/>
          <w:sz w:val="24"/>
          <w:szCs w:val="24"/>
          <w:lang w:val="nl-NL"/>
        </w:rPr>
        <w:t>Bouwactiviteiten</w:t>
      </w:r>
      <w:r w:rsidRPr="00B84005">
        <w:rPr>
          <w:sz w:val="24"/>
          <w:szCs w:val="24"/>
          <w:lang w:val="nl-NL"/>
        </w:rPr>
        <w:t xml:space="preserve"> blijven een belangrijke rol spelen in de economische groei van Curaçao. De bouw verkeert in een dalende situatie van 7,3 procent na een lichte vooruitgang van de jaar daarvoor (0,1%). Deze negatieve prestatie kan worden toegeschreven aan de dalingen in hypotheekleningen en </w:t>
      </w:r>
      <w:r w:rsidR="00935CAE">
        <w:rPr>
          <w:sz w:val="24"/>
          <w:szCs w:val="24"/>
          <w:lang w:val="nl-NL"/>
        </w:rPr>
        <w:t xml:space="preserve">een </w:t>
      </w:r>
      <w:r w:rsidRPr="00B84005">
        <w:rPr>
          <w:sz w:val="24"/>
          <w:szCs w:val="24"/>
          <w:lang w:val="nl-NL"/>
        </w:rPr>
        <w:t xml:space="preserve">daling in </w:t>
      </w:r>
      <w:r w:rsidR="00935CAE">
        <w:rPr>
          <w:sz w:val="24"/>
          <w:szCs w:val="24"/>
          <w:lang w:val="nl-NL"/>
        </w:rPr>
        <w:t>bouwactiviteiten.</w:t>
      </w:r>
      <w:r w:rsidRPr="00B84005">
        <w:rPr>
          <w:sz w:val="24"/>
          <w:szCs w:val="24"/>
          <w:lang w:val="nl-NL"/>
        </w:rPr>
        <w:t xml:space="preserve">  </w:t>
      </w:r>
    </w:p>
    <w:p w:rsidR="00B84005" w:rsidRDefault="00B84005" w:rsidP="00B84005">
      <w:pPr>
        <w:jc w:val="both"/>
        <w:rPr>
          <w:sz w:val="24"/>
          <w:szCs w:val="24"/>
          <w:lang w:val="nl-NL"/>
        </w:rPr>
      </w:pPr>
      <w:r w:rsidRPr="00B84005">
        <w:rPr>
          <w:sz w:val="24"/>
          <w:szCs w:val="24"/>
          <w:lang w:val="nl-NL"/>
        </w:rPr>
        <w:t xml:space="preserve">De activiteiten in de </w:t>
      </w:r>
      <w:r w:rsidRPr="00B84005">
        <w:rPr>
          <w:i/>
          <w:sz w:val="24"/>
          <w:szCs w:val="24"/>
          <w:lang w:val="nl-NL"/>
        </w:rPr>
        <w:t>Handel</w:t>
      </w:r>
      <w:r w:rsidRPr="00B84005">
        <w:rPr>
          <w:sz w:val="24"/>
          <w:szCs w:val="24"/>
          <w:lang w:val="nl-NL"/>
        </w:rPr>
        <w:t xml:space="preserve"> zijn afgenomen met 0,8 procent, weliswaar minder hard als voorgaand jaar (-4.6%). De daling is veroorzaakt door een afname van de goedereninvoer en de verschillende handelsactiviteiten van de bedrijven.</w:t>
      </w:r>
    </w:p>
    <w:p w:rsidR="005E76E8" w:rsidRDefault="005E76E8" w:rsidP="00A7204F">
      <w:pPr>
        <w:jc w:val="both"/>
        <w:rPr>
          <w:sz w:val="24"/>
          <w:szCs w:val="24"/>
          <w:lang w:val="nl-NL"/>
        </w:rPr>
      </w:pPr>
      <w:r w:rsidRPr="005E76E8">
        <w:rPr>
          <w:sz w:val="24"/>
          <w:szCs w:val="24"/>
          <w:lang w:val="nl-NL"/>
        </w:rPr>
        <w:t>De</w:t>
      </w:r>
      <w:r w:rsidR="008264E6">
        <w:rPr>
          <w:sz w:val="24"/>
          <w:szCs w:val="24"/>
          <w:lang w:val="nl-NL"/>
        </w:rPr>
        <w:t xml:space="preserve"> </w:t>
      </w:r>
      <w:r w:rsidR="008264E6" w:rsidRPr="00CD5867">
        <w:rPr>
          <w:i/>
          <w:sz w:val="24"/>
          <w:szCs w:val="24"/>
          <w:lang w:val="nl-NL"/>
        </w:rPr>
        <w:t>Horeca</w:t>
      </w:r>
      <w:r w:rsidR="008264E6">
        <w:rPr>
          <w:sz w:val="24"/>
          <w:szCs w:val="24"/>
          <w:lang w:val="nl-NL"/>
        </w:rPr>
        <w:t xml:space="preserve"> oftewel de</w:t>
      </w:r>
      <w:r w:rsidRPr="005E76E8">
        <w:rPr>
          <w:sz w:val="24"/>
          <w:szCs w:val="24"/>
          <w:lang w:val="nl-NL"/>
        </w:rPr>
        <w:t xml:space="preserve"> toerisme sector verkeert </w:t>
      </w:r>
      <w:r w:rsidR="00B9416C">
        <w:rPr>
          <w:sz w:val="24"/>
          <w:szCs w:val="24"/>
          <w:lang w:val="nl-NL"/>
        </w:rPr>
        <w:t>sinds 2018</w:t>
      </w:r>
      <w:r w:rsidRPr="005E76E8">
        <w:rPr>
          <w:sz w:val="24"/>
          <w:szCs w:val="24"/>
          <w:lang w:val="nl-NL"/>
        </w:rPr>
        <w:t xml:space="preserve"> in </w:t>
      </w:r>
      <w:r w:rsidR="005D49AE">
        <w:rPr>
          <w:sz w:val="24"/>
          <w:szCs w:val="24"/>
          <w:lang w:val="nl-NL"/>
        </w:rPr>
        <w:t>de lift. D</w:t>
      </w:r>
      <w:r w:rsidRPr="005E76E8">
        <w:rPr>
          <w:sz w:val="24"/>
          <w:szCs w:val="24"/>
          <w:lang w:val="nl-NL"/>
        </w:rPr>
        <w:t xml:space="preserve">e activiteiten in de bedrijfstak hotels en restaurant </w:t>
      </w:r>
      <w:r w:rsidR="005D49AE">
        <w:rPr>
          <w:sz w:val="24"/>
          <w:szCs w:val="24"/>
          <w:lang w:val="nl-NL"/>
        </w:rPr>
        <w:t>zijn toe</w:t>
      </w:r>
      <w:r w:rsidRPr="005E76E8">
        <w:rPr>
          <w:sz w:val="24"/>
          <w:szCs w:val="24"/>
          <w:lang w:val="nl-NL"/>
        </w:rPr>
        <w:t>genomen ten opzichte van het jaar 201</w:t>
      </w:r>
      <w:r w:rsidR="005D49AE">
        <w:rPr>
          <w:sz w:val="24"/>
          <w:szCs w:val="24"/>
          <w:lang w:val="nl-NL"/>
        </w:rPr>
        <w:t>7</w:t>
      </w:r>
      <w:r w:rsidRPr="005E76E8">
        <w:rPr>
          <w:sz w:val="24"/>
          <w:szCs w:val="24"/>
          <w:lang w:val="nl-NL"/>
        </w:rPr>
        <w:t xml:space="preserve">. Een globaal </w:t>
      </w:r>
      <w:r w:rsidRPr="005E76E8">
        <w:rPr>
          <w:sz w:val="24"/>
          <w:szCs w:val="24"/>
          <w:lang w:val="nl-NL"/>
        </w:rPr>
        <w:lastRenderedPageBreak/>
        <w:t xml:space="preserve">overzicht van het aantal overnachtingen van toeristen vanuit de verschillende toeristische regio’s laat zien dat er een </w:t>
      </w:r>
      <w:r w:rsidR="0022771D">
        <w:rPr>
          <w:sz w:val="24"/>
          <w:szCs w:val="24"/>
          <w:lang w:val="nl-NL"/>
        </w:rPr>
        <w:t xml:space="preserve">alzijdig </w:t>
      </w:r>
      <w:r w:rsidR="005D49AE">
        <w:rPr>
          <w:sz w:val="24"/>
          <w:szCs w:val="24"/>
          <w:lang w:val="nl-NL"/>
        </w:rPr>
        <w:t>voo</w:t>
      </w:r>
      <w:r w:rsidRPr="005E76E8">
        <w:rPr>
          <w:sz w:val="24"/>
          <w:szCs w:val="24"/>
          <w:lang w:val="nl-NL"/>
        </w:rPr>
        <w:t>ruitgang heeft plaatsgevonden</w:t>
      </w:r>
      <w:r w:rsidR="005D49AE">
        <w:rPr>
          <w:sz w:val="24"/>
          <w:szCs w:val="24"/>
          <w:lang w:val="nl-NL"/>
        </w:rPr>
        <w:t xml:space="preserve"> met uitzondering van Zuid-Amerika</w:t>
      </w:r>
      <w:r w:rsidRPr="005E76E8">
        <w:rPr>
          <w:sz w:val="24"/>
          <w:szCs w:val="24"/>
          <w:lang w:val="nl-NL"/>
        </w:rPr>
        <w:t>.</w:t>
      </w:r>
      <w:r w:rsidR="0022771D">
        <w:rPr>
          <w:sz w:val="24"/>
          <w:szCs w:val="24"/>
          <w:lang w:val="nl-NL"/>
        </w:rPr>
        <w:t xml:space="preserve"> </w:t>
      </w:r>
      <w:r w:rsidR="0022771D" w:rsidRPr="0022771D">
        <w:rPr>
          <w:sz w:val="24"/>
          <w:szCs w:val="24"/>
          <w:lang w:val="nl-NL"/>
        </w:rPr>
        <w:t xml:space="preserve">Toeristische overnachtingen vanuit Zuid-Amerika bleef een achteruitgang aanhouden van </w:t>
      </w:r>
      <w:r w:rsidR="0022771D">
        <w:rPr>
          <w:sz w:val="24"/>
          <w:szCs w:val="24"/>
          <w:lang w:val="nl-NL"/>
        </w:rPr>
        <w:t>4</w:t>
      </w:r>
      <w:r w:rsidR="0022771D" w:rsidRPr="0022771D">
        <w:rPr>
          <w:sz w:val="24"/>
          <w:szCs w:val="24"/>
          <w:lang w:val="nl-NL"/>
        </w:rPr>
        <w:t xml:space="preserve"> </w:t>
      </w:r>
      <w:r w:rsidR="0022771D">
        <w:rPr>
          <w:sz w:val="24"/>
          <w:szCs w:val="24"/>
          <w:lang w:val="nl-NL"/>
        </w:rPr>
        <w:t>procent ten opzichte van 2017 (-17</w:t>
      </w:r>
      <w:r w:rsidR="0022771D" w:rsidRPr="0022771D">
        <w:rPr>
          <w:sz w:val="24"/>
          <w:szCs w:val="24"/>
          <w:lang w:val="nl-NL"/>
        </w:rPr>
        <w:t>%)</w:t>
      </w:r>
      <w:r w:rsidR="0022771D">
        <w:rPr>
          <w:sz w:val="24"/>
          <w:szCs w:val="24"/>
          <w:lang w:val="nl-NL"/>
        </w:rPr>
        <w:t>.</w:t>
      </w:r>
      <w:r w:rsidRPr="005E76E8">
        <w:rPr>
          <w:sz w:val="24"/>
          <w:szCs w:val="24"/>
          <w:lang w:val="nl-NL"/>
        </w:rPr>
        <w:t xml:space="preserve"> Van de regio is </w:t>
      </w:r>
      <w:r w:rsidR="005D49AE">
        <w:rPr>
          <w:sz w:val="24"/>
          <w:szCs w:val="24"/>
          <w:lang w:val="nl-NL"/>
        </w:rPr>
        <w:t xml:space="preserve">Noord-Amerika en </w:t>
      </w:r>
      <w:r w:rsidRPr="005E76E8">
        <w:rPr>
          <w:sz w:val="24"/>
          <w:szCs w:val="24"/>
          <w:lang w:val="nl-NL"/>
        </w:rPr>
        <w:t xml:space="preserve">het Caribisch gebied het meest </w:t>
      </w:r>
      <w:r w:rsidR="005D49AE">
        <w:rPr>
          <w:sz w:val="24"/>
          <w:szCs w:val="24"/>
          <w:lang w:val="nl-NL"/>
        </w:rPr>
        <w:t>voo</w:t>
      </w:r>
      <w:r w:rsidRPr="005E76E8">
        <w:rPr>
          <w:sz w:val="24"/>
          <w:szCs w:val="24"/>
          <w:lang w:val="nl-NL"/>
        </w:rPr>
        <w:t xml:space="preserve">ruitgegaan met </w:t>
      </w:r>
      <w:r w:rsidR="005D49AE">
        <w:rPr>
          <w:sz w:val="24"/>
          <w:szCs w:val="24"/>
          <w:lang w:val="nl-NL"/>
        </w:rPr>
        <w:t xml:space="preserve">respectievelijk </w:t>
      </w:r>
      <w:r w:rsidR="0022771D" w:rsidRPr="005E76E8">
        <w:rPr>
          <w:sz w:val="24"/>
          <w:szCs w:val="24"/>
          <w:lang w:val="nl-NL"/>
        </w:rPr>
        <w:t>1</w:t>
      </w:r>
      <w:r w:rsidR="0022771D">
        <w:rPr>
          <w:sz w:val="24"/>
          <w:szCs w:val="24"/>
          <w:lang w:val="nl-NL"/>
        </w:rPr>
        <w:t>8</w:t>
      </w:r>
      <w:r w:rsidR="0022771D" w:rsidRPr="005E76E8">
        <w:rPr>
          <w:sz w:val="24"/>
          <w:szCs w:val="24"/>
          <w:lang w:val="nl-NL"/>
        </w:rPr>
        <w:t xml:space="preserve"> </w:t>
      </w:r>
      <w:r w:rsidR="0022771D">
        <w:rPr>
          <w:sz w:val="24"/>
          <w:szCs w:val="24"/>
          <w:lang w:val="nl-NL"/>
        </w:rPr>
        <w:t>en</w:t>
      </w:r>
      <w:r w:rsidR="005D49AE">
        <w:rPr>
          <w:sz w:val="24"/>
          <w:szCs w:val="24"/>
          <w:lang w:val="nl-NL"/>
        </w:rPr>
        <w:t xml:space="preserve"> 14 </w:t>
      </w:r>
      <w:r w:rsidRPr="005E76E8">
        <w:rPr>
          <w:sz w:val="24"/>
          <w:szCs w:val="24"/>
          <w:lang w:val="nl-NL"/>
        </w:rPr>
        <w:t>procent</w:t>
      </w:r>
      <w:r w:rsidR="0022771D">
        <w:rPr>
          <w:sz w:val="24"/>
          <w:szCs w:val="24"/>
          <w:lang w:val="nl-NL"/>
        </w:rPr>
        <w:t xml:space="preserve">. </w:t>
      </w:r>
      <w:r w:rsidRPr="005E76E8">
        <w:rPr>
          <w:sz w:val="24"/>
          <w:szCs w:val="24"/>
          <w:lang w:val="nl-NL"/>
        </w:rPr>
        <w:t>Europa laat weer een groei zien van</w:t>
      </w:r>
      <w:r w:rsidR="0022771D">
        <w:rPr>
          <w:sz w:val="24"/>
          <w:szCs w:val="24"/>
          <w:lang w:val="nl-NL"/>
        </w:rPr>
        <w:t xml:space="preserve"> 8</w:t>
      </w:r>
      <w:r w:rsidRPr="005E76E8">
        <w:rPr>
          <w:sz w:val="24"/>
          <w:szCs w:val="24"/>
          <w:lang w:val="nl-NL"/>
        </w:rPr>
        <w:t xml:space="preserve"> procent in overnachtingen</w:t>
      </w:r>
      <w:r w:rsidR="0022771D">
        <w:rPr>
          <w:sz w:val="24"/>
          <w:szCs w:val="24"/>
          <w:lang w:val="nl-NL"/>
        </w:rPr>
        <w:t>, voorheen was het 3 procent</w:t>
      </w:r>
      <w:r w:rsidRPr="005E76E8">
        <w:rPr>
          <w:sz w:val="24"/>
          <w:szCs w:val="24"/>
          <w:lang w:val="nl-NL"/>
        </w:rPr>
        <w:t xml:space="preserve">. Uit andere gebieden zijn overnachtingen met </w:t>
      </w:r>
      <w:r w:rsidR="0022771D">
        <w:rPr>
          <w:sz w:val="24"/>
          <w:szCs w:val="24"/>
          <w:lang w:val="nl-NL"/>
        </w:rPr>
        <w:t xml:space="preserve">13 </w:t>
      </w:r>
      <w:r w:rsidRPr="005E76E8">
        <w:rPr>
          <w:sz w:val="24"/>
          <w:szCs w:val="24"/>
          <w:lang w:val="nl-NL"/>
        </w:rPr>
        <w:t>procent vooruitgegaan. Min of meer is zowel het totaal</w:t>
      </w:r>
      <w:r w:rsidR="00B3479F">
        <w:rPr>
          <w:sz w:val="24"/>
          <w:szCs w:val="24"/>
          <w:lang w:val="nl-NL"/>
        </w:rPr>
        <w:t xml:space="preserve"> </w:t>
      </w:r>
      <w:r w:rsidRPr="005E76E8">
        <w:rPr>
          <w:sz w:val="24"/>
          <w:szCs w:val="24"/>
          <w:lang w:val="nl-NL"/>
        </w:rPr>
        <w:t xml:space="preserve">aantal overnachtingen van toeristen met </w:t>
      </w:r>
      <w:r w:rsidR="0022771D">
        <w:rPr>
          <w:sz w:val="24"/>
          <w:szCs w:val="24"/>
          <w:lang w:val="nl-NL"/>
        </w:rPr>
        <w:t>8</w:t>
      </w:r>
      <w:r w:rsidRPr="005E76E8">
        <w:rPr>
          <w:sz w:val="24"/>
          <w:szCs w:val="24"/>
          <w:lang w:val="nl-NL"/>
        </w:rPr>
        <w:t xml:space="preserve"> procent en het totaalaantal bezoekers </w:t>
      </w:r>
      <w:r w:rsidR="00A931BB">
        <w:rPr>
          <w:sz w:val="24"/>
          <w:szCs w:val="24"/>
          <w:lang w:val="nl-NL"/>
        </w:rPr>
        <w:t>toe</w:t>
      </w:r>
      <w:r w:rsidRPr="005E76E8">
        <w:rPr>
          <w:sz w:val="24"/>
          <w:szCs w:val="24"/>
          <w:lang w:val="nl-NL"/>
        </w:rPr>
        <w:t>genomen met 1</w:t>
      </w:r>
      <w:r w:rsidR="00A931BB">
        <w:rPr>
          <w:sz w:val="24"/>
          <w:szCs w:val="24"/>
          <w:lang w:val="nl-NL"/>
        </w:rPr>
        <w:t>4</w:t>
      </w:r>
      <w:r w:rsidRPr="005E76E8">
        <w:rPr>
          <w:sz w:val="24"/>
          <w:szCs w:val="24"/>
          <w:lang w:val="nl-NL"/>
        </w:rPr>
        <w:t xml:space="preserve"> procent in 201</w:t>
      </w:r>
      <w:r w:rsidR="00A931BB">
        <w:rPr>
          <w:sz w:val="24"/>
          <w:szCs w:val="24"/>
          <w:lang w:val="nl-NL"/>
        </w:rPr>
        <w:t>8</w:t>
      </w:r>
      <w:r w:rsidRPr="005E76E8">
        <w:rPr>
          <w:sz w:val="24"/>
          <w:szCs w:val="24"/>
          <w:lang w:val="nl-NL"/>
        </w:rPr>
        <w:t xml:space="preserve">. Alles overziend brengt deze ontwikkelingen tot een </w:t>
      </w:r>
      <w:r w:rsidR="00A931BB">
        <w:rPr>
          <w:sz w:val="24"/>
          <w:szCs w:val="24"/>
          <w:lang w:val="nl-NL"/>
        </w:rPr>
        <w:t>ho</w:t>
      </w:r>
      <w:r w:rsidRPr="005E76E8">
        <w:rPr>
          <w:sz w:val="24"/>
          <w:szCs w:val="24"/>
          <w:lang w:val="nl-NL"/>
        </w:rPr>
        <w:t xml:space="preserve">ger toegevoegde waarde in de bedrijfstak hotels en restaurants van meer dan </w:t>
      </w:r>
      <w:r w:rsidR="00A931BB">
        <w:rPr>
          <w:sz w:val="24"/>
          <w:szCs w:val="24"/>
          <w:lang w:val="nl-NL"/>
        </w:rPr>
        <w:t>8</w:t>
      </w:r>
      <w:r w:rsidRPr="005E76E8">
        <w:rPr>
          <w:sz w:val="24"/>
          <w:szCs w:val="24"/>
          <w:lang w:val="nl-NL"/>
        </w:rPr>
        <w:t xml:space="preserve"> procent.</w:t>
      </w:r>
    </w:p>
    <w:p w:rsidR="002E7C74" w:rsidRDefault="002E7C74" w:rsidP="002E7C74">
      <w:pPr>
        <w:jc w:val="both"/>
        <w:rPr>
          <w:sz w:val="24"/>
          <w:szCs w:val="24"/>
          <w:lang w:val="nl-NL"/>
        </w:rPr>
      </w:pPr>
      <w:r w:rsidRPr="006C66D1">
        <w:rPr>
          <w:sz w:val="24"/>
          <w:szCs w:val="24"/>
          <w:lang w:val="nl-NL"/>
        </w:rPr>
        <w:t xml:space="preserve">De trend in de </w:t>
      </w:r>
      <w:r w:rsidR="0063327C">
        <w:rPr>
          <w:sz w:val="24"/>
          <w:szCs w:val="24"/>
          <w:lang w:val="nl-NL"/>
        </w:rPr>
        <w:t>bedrijfs</w:t>
      </w:r>
      <w:r>
        <w:rPr>
          <w:sz w:val="24"/>
          <w:szCs w:val="24"/>
          <w:lang w:val="nl-NL"/>
        </w:rPr>
        <w:t xml:space="preserve">tak </w:t>
      </w:r>
      <w:r>
        <w:rPr>
          <w:i/>
          <w:sz w:val="24"/>
          <w:szCs w:val="24"/>
          <w:lang w:val="nl-NL"/>
        </w:rPr>
        <w:t>T</w:t>
      </w:r>
      <w:r w:rsidRPr="00D2439A">
        <w:rPr>
          <w:i/>
          <w:sz w:val="24"/>
          <w:szCs w:val="24"/>
          <w:lang w:val="nl-NL"/>
        </w:rPr>
        <w:t>ransport &amp; communicatie</w:t>
      </w:r>
      <w:r w:rsidRPr="006C66D1">
        <w:rPr>
          <w:sz w:val="24"/>
          <w:szCs w:val="24"/>
          <w:lang w:val="nl-NL"/>
        </w:rPr>
        <w:t xml:space="preserve"> vertoont een doorzettende daling van</w:t>
      </w:r>
      <w:r>
        <w:rPr>
          <w:sz w:val="24"/>
          <w:szCs w:val="24"/>
          <w:lang w:val="nl-NL"/>
        </w:rPr>
        <w:t xml:space="preserve"> meer dan 1 </w:t>
      </w:r>
      <w:r w:rsidRPr="006C66D1">
        <w:rPr>
          <w:sz w:val="24"/>
          <w:szCs w:val="24"/>
          <w:lang w:val="nl-NL"/>
        </w:rPr>
        <w:t xml:space="preserve">procent in de economische activiteiten ten opzichte van voorgaande jaren. Bij transport zijn de activiteiten in de haven en luchthaven </w:t>
      </w:r>
      <w:r>
        <w:rPr>
          <w:sz w:val="24"/>
          <w:szCs w:val="24"/>
          <w:lang w:val="nl-NL"/>
        </w:rPr>
        <w:t>in het algemeen voor</w:t>
      </w:r>
      <w:r w:rsidRPr="006C66D1">
        <w:rPr>
          <w:sz w:val="24"/>
          <w:szCs w:val="24"/>
          <w:lang w:val="nl-NL"/>
        </w:rPr>
        <w:t xml:space="preserve">uitgegaan. De havenactiviteiten zijn voornamelijk </w:t>
      </w:r>
      <w:r>
        <w:rPr>
          <w:sz w:val="24"/>
          <w:szCs w:val="24"/>
          <w:lang w:val="nl-NL"/>
        </w:rPr>
        <w:t xml:space="preserve">zwaar getroffen bij de tankers, andere </w:t>
      </w:r>
      <w:r w:rsidRPr="006C66D1">
        <w:rPr>
          <w:sz w:val="24"/>
          <w:szCs w:val="24"/>
          <w:lang w:val="nl-NL"/>
        </w:rPr>
        <w:t>binnengeloodste s</w:t>
      </w:r>
      <w:r>
        <w:rPr>
          <w:sz w:val="24"/>
          <w:szCs w:val="24"/>
          <w:lang w:val="nl-NL"/>
        </w:rPr>
        <w:t>chepen zijn wel vooruitgegaan in aantallen. De c</w:t>
      </w:r>
      <w:r w:rsidRPr="006C66D1">
        <w:rPr>
          <w:sz w:val="24"/>
          <w:szCs w:val="24"/>
          <w:lang w:val="nl-NL"/>
        </w:rPr>
        <w:t xml:space="preserve">ruise calls en </w:t>
      </w:r>
      <w:r>
        <w:rPr>
          <w:sz w:val="24"/>
          <w:szCs w:val="24"/>
          <w:lang w:val="nl-NL"/>
        </w:rPr>
        <w:t xml:space="preserve">het aantal </w:t>
      </w:r>
      <w:r w:rsidRPr="006C66D1">
        <w:rPr>
          <w:sz w:val="24"/>
          <w:szCs w:val="24"/>
          <w:lang w:val="nl-NL"/>
        </w:rPr>
        <w:t>passagiers</w:t>
      </w:r>
      <w:r>
        <w:rPr>
          <w:sz w:val="24"/>
          <w:szCs w:val="24"/>
          <w:lang w:val="nl-NL"/>
        </w:rPr>
        <w:t xml:space="preserve"> zijn ook gestegen in</w:t>
      </w:r>
      <w:r w:rsidRPr="006C66D1">
        <w:rPr>
          <w:sz w:val="24"/>
          <w:szCs w:val="24"/>
          <w:lang w:val="nl-NL"/>
        </w:rPr>
        <w:t xml:space="preserve"> 201</w:t>
      </w:r>
      <w:r>
        <w:rPr>
          <w:sz w:val="24"/>
          <w:szCs w:val="24"/>
          <w:lang w:val="nl-NL"/>
        </w:rPr>
        <w:t>8</w:t>
      </w:r>
      <w:r w:rsidRPr="006C66D1">
        <w:rPr>
          <w:sz w:val="24"/>
          <w:szCs w:val="24"/>
          <w:lang w:val="nl-NL"/>
        </w:rPr>
        <w:t>. De luchttransportactiviteiten namen</w:t>
      </w:r>
      <w:r>
        <w:rPr>
          <w:sz w:val="24"/>
          <w:szCs w:val="24"/>
          <w:lang w:val="nl-NL"/>
        </w:rPr>
        <w:t xml:space="preserve"> ook</w:t>
      </w:r>
      <w:r w:rsidRPr="006C66D1">
        <w:rPr>
          <w:sz w:val="24"/>
          <w:szCs w:val="24"/>
          <w:lang w:val="nl-NL"/>
        </w:rPr>
        <w:t xml:space="preserve"> </w:t>
      </w:r>
      <w:r>
        <w:rPr>
          <w:sz w:val="24"/>
          <w:szCs w:val="24"/>
          <w:lang w:val="nl-NL"/>
        </w:rPr>
        <w:t>toe</w:t>
      </w:r>
      <w:r w:rsidRPr="006C66D1">
        <w:rPr>
          <w:sz w:val="24"/>
          <w:szCs w:val="24"/>
          <w:lang w:val="nl-NL"/>
        </w:rPr>
        <w:t xml:space="preserve"> in het aantal passagiers</w:t>
      </w:r>
      <w:r>
        <w:rPr>
          <w:sz w:val="24"/>
          <w:szCs w:val="24"/>
          <w:lang w:val="nl-NL"/>
        </w:rPr>
        <w:t xml:space="preserve"> samen met </w:t>
      </w:r>
      <w:r w:rsidRPr="00193B2C">
        <w:rPr>
          <w:sz w:val="24"/>
          <w:szCs w:val="24"/>
          <w:lang w:val="nl-NL"/>
        </w:rPr>
        <w:t>het aantal luchtvrachten,</w:t>
      </w:r>
      <w:r>
        <w:rPr>
          <w:sz w:val="24"/>
          <w:szCs w:val="24"/>
          <w:lang w:val="nl-NL"/>
        </w:rPr>
        <w:t xml:space="preserve"> maar er waren minder landingen.</w:t>
      </w:r>
      <w:r w:rsidRPr="006C66D1">
        <w:rPr>
          <w:sz w:val="24"/>
          <w:szCs w:val="24"/>
          <w:lang w:val="nl-NL"/>
        </w:rPr>
        <w:t xml:space="preserve"> In de sector communicatie wordt ook een daling waargenomen in 201</w:t>
      </w:r>
      <w:r>
        <w:rPr>
          <w:sz w:val="24"/>
          <w:szCs w:val="24"/>
          <w:lang w:val="nl-NL"/>
        </w:rPr>
        <w:t>8</w:t>
      </w:r>
      <w:r w:rsidRPr="006C66D1">
        <w:rPr>
          <w:sz w:val="24"/>
          <w:szCs w:val="24"/>
          <w:lang w:val="nl-NL"/>
        </w:rPr>
        <w:t xml:space="preserve">. </w:t>
      </w:r>
    </w:p>
    <w:p w:rsidR="002E7C74" w:rsidRPr="00536F72" w:rsidRDefault="002E7C74" w:rsidP="002E7C74">
      <w:pPr>
        <w:jc w:val="both"/>
        <w:rPr>
          <w:sz w:val="24"/>
          <w:szCs w:val="24"/>
          <w:lang w:val="nl-NL"/>
        </w:rPr>
      </w:pPr>
      <w:r w:rsidRPr="00536F72">
        <w:rPr>
          <w:sz w:val="24"/>
          <w:szCs w:val="24"/>
          <w:lang w:val="nl-NL"/>
        </w:rPr>
        <w:t xml:space="preserve">Bij de </w:t>
      </w:r>
      <w:r>
        <w:rPr>
          <w:sz w:val="24"/>
          <w:szCs w:val="24"/>
          <w:lang w:val="nl-NL"/>
        </w:rPr>
        <w:t xml:space="preserve">bedrijfstak “Financiële bemiddeling” is er een </w:t>
      </w:r>
      <w:r w:rsidRPr="00536F72">
        <w:rPr>
          <w:sz w:val="24"/>
          <w:szCs w:val="24"/>
          <w:lang w:val="nl-NL"/>
        </w:rPr>
        <w:t>g</w:t>
      </w:r>
      <w:r>
        <w:rPr>
          <w:sz w:val="24"/>
          <w:szCs w:val="24"/>
          <w:lang w:val="nl-NL"/>
        </w:rPr>
        <w:t>roei</w:t>
      </w:r>
      <w:r w:rsidRPr="00536F72">
        <w:rPr>
          <w:sz w:val="24"/>
          <w:szCs w:val="24"/>
          <w:lang w:val="nl-NL"/>
        </w:rPr>
        <w:t xml:space="preserve"> waargenom</w:t>
      </w:r>
      <w:r>
        <w:rPr>
          <w:sz w:val="24"/>
          <w:szCs w:val="24"/>
          <w:lang w:val="nl-NL"/>
        </w:rPr>
        <w:t>en (0,9</w:t>
      </w:r>
      <w:r w:rsidRPr="00536F72">
        <w:rPr>
          <w:sz w:val="24"/>
          <w:szCs w:val="24"/>
          <w:lang w:val="nl-NL"/>
        </w:rPr>
        <w:t xml:space="preserve">%). Deze </w:t>
      </w:r>
      <w:r>
        <w:rPr>
          <w:sz w:val="24"/>
          <w:szCs w:val="24"/>
          <w:lang w:val="nl-NL"/>
        </w:rPr>
        <w:t>stijging</w:t>
      </w:r>
      <w:r w:rsidRPr="00536F72">
        <w:rPr>
          <w:sz w:val="24"/>
          <w:szCs w:val="24"/>
          <w:lang w:val="nl-NL"/>
        </w:rPr>
        <w:t xml:space="preserve"> is toegeschreven aan </w:t>
      </w:r>
      <w:r>
        <w:rPr>
          <w:sz w:val="24"/>
          <w:szCs w:val="24"/>
          <w:lang w:val="nl-NL"/>
        </w:rPr>
        <w:t xml:space="preserve">onder anderen </w:t>
      </w:r>
      <w:r w:rsidRPr="00536F72">
        <w:rPr>
          <w:sz w:val="24"/>
          <w:szCs w:val="24"/>
          <w:lang w:val="nl-NL"/>
        </w:rPr>
        <w:t xml:space="preserve">de </w:t>
      </w:r>
      <w:r>
        <w:rPr>
          <w:sz w:val="24"/>
          <w:szCs w:val="24"/>
          <w:lang w:val="nl-NL"/>
        </w:rPr>
        <w:t>toename</w:t>
      </w:r>
      <w:r w:rsidRPr="00536F72">
        <w:rPr>
          <w:sz w:val="24"/>
          <w:szCs w:val="24"/>
          <w:lang w:val="nl-NL"/>
        </w:rPr>
        <w:t xml:space="preserve"> in leningen, internationale zakelijke en financiële dienstverlening en </w:t>
      </w:r>
      <w:r w:rsidR="00C95099">
        <w:rPr>
          <w:sz w:val="24"/>
          <w:szCs w:val="24"/>
          <w:lang w:val="nl-NL"/>
        </w:rPr>
        <w:t xml:space="preserve">overige </w:t>
      </w:r>
      <w:r w:rsidRPr="00536F72">
        <w:rPr>
          <w:sz w:val="24"/>
          <w:szCs w:val="24"/>
          <w:lang w:val="nl-NL"/>
        </w:rPr>
        <w:t>lokale commerciële bankactiviteiten.</w:t>
      </w:r>
    </w:p>
    <w:p w:rsidR="005E76E8" w:rsidRDefault="00536F72" w:rsidP="00A7204F">
      <w:pPr>
        <w:jc w:val="both"/>
        <w:rPr>
          <w:sz w:val="24"/>
          <w:szCs w:val="24"/>
          <w:lang w:val="nl-NL"/>
        </w:rPr>
      </w:pPr>
      <w:r w:rsidRPr="00536F72">
        <w:rPr>
          <w:sz w:val="24"/>
          <w:szCs w:val="24"/>
          <w:lang w:val="nl-NL"/>
        </w:rPr>
        <w:t xml:space="preserve">De </w:t>
      </w:r>
      <w:r w:rsidR="00B84005">
        <w:rPr>
          <w:i/>
          <w:sz w:val="24"/>
          <w:szCs w:val="24"/>
          <w:lang w:val="nl-NL"/>
        </w:rPr>
        <w:t>Z</w:t>
      </w:r>
      <w:r w:rsidRPr="00CD5867">
        <w:rPr>
          <w:i/>
          <w:sz w:val="24"/>
          <w:szCs w:val="24"/>
          <w:lang w:val="nl-NL"/>
        </w:rPr>
        <w:t>akelijke diensten</w:t>
      </w:r>
      <w:r w:rsidRPr="00536F72">
        <w:rPr>
          <w:sz w:val="24"/>
          <w:szCs w:val="24"/>
          <w:lang w:val="nl-NL"/>
        </w:rPr>
        <w:t xml:space="preserve"> waarbij onroerend goed, verhuur, en bedrijven activiteiten b</w:t>
      </w:r>
      <w:r>
        <w:rPr>
          <w:sz w:val="24"/>
          <w:szCs w:val="24"/>
          <w:lang w:val="nl-NL"/>
        </w:rPr>
        <w:t>ehoren, hebben een matige toe</w:t>
      </w:r>
      <w:r w:rsidRPr="00536F72">
        <w:rPr>
          <w:sz w:val="24"/>
          <w:szCs w:val="24"/>
          <w:lang w:val="nl-NL"/>
        </w:rPr>
        <w:t xml:space="preserve">name van </w:t>
      </w:r>
      <w:r>
        <w:rPr>
          <w:sz w:val="24"/>
          <w:szCs w:val="24"/>
          <w:lang w:val="nl-NL"/>
        </w:rPr>
        <w:t xml:space="preserve">1,6 </w:t>
      </w:r>
      <w:r w:rsidRPr="00536F72">
        <w:rPr>
          <w:sz w:val="24"/>
          <w:szCs w:val="24"/>
          <w:lang w:val="nl-NL"/>
        </w:rPr>
        <w:t>procent ondervonden in 201</w:t>
      </w:r>
      <w:r w:rsidR="008264E6">
        <w:rPr>
          <w:sz w:val="24"/>
          <w:szCs w:val="24"/>
          <w:lang w:val="nl-NL"/>
        </w:rPr>
        <w:t>8 ten opzichte de daling van 2017 (-5,4%)</w:t>
      </w:r>
      <w:r w:rsidRPr="00536F72">
        <w:rPr>
          <w:sz w:val="24"/>
          <w:szCs w:val="24"/>
          <w:lang w:val="nl-NL"/>
        </w:rPr>
        <w:t>.</w:t>
      </w:r>
    </w:p>
    <w:p w:rsidR="002E7C74" w:rsidRPr="006C66D1" w:rsidRDefault="0072551A" w:rsidP="002E7C74">
      <w:pPr>
        <w:jc w:val="both"/>
        <w:rPr>
          <w:sz w:val="24"/>
          <w:szCs w:val="24"/>
          <w:lang w:val="nl-NL"/>
        </w:rPr>
      </w:pPr>
      <w:r>
        <w:rPr>
          <w:sz w:val="24"/>
          <w:szCs w:val="24"/>
          <w:lang w:val="nl-NL"/>
        </w:rPr>
        <w:t>De</w:t>
      </w:r>
      <w:r w:rsidR="002E7C74" w:rsidRPr="007B2868">
        <w:rPr>
          <w:sz w:val="24"/>
          <w:szCs w:val="24"/>
          <w:lang w:val="nl-NL"/>
        </w:rPr>
        <w:t xml:space="preserve"> bijdrage </w:t>
      </w:r>
      <w:r w:rsidR="00BC6469">
        <w:rPr>
          <w:sz w:val="24"/>
          <w:szCs w:val="24"/>
          <w:lang w:val="nl-NL"/>
        </w:rPr>
        <w:t xml:space="preserve">van de </w:t>
      </w:r>
      <w:r w:rsidR="00BC6469" w:rsidRPr="00BC6469">
        <w:rPr>
          <w:i/>
          <w:sz w:val="24"/>
          <w:szCs w:val="24"/>
          <w:lang w:val="nl-NL"/>
        </w:rPr>
        <w:t>Overheid</w:t>
      </w:r>
      <w:r w:rsidR="00BC6469">
        <w:rPr>
          <w:sz w:val="24"/>
          <w:szCs w:val="24"/>
          <w:lang w:val="nl-NL"/>
        </w:rPr>
        <w:t xml:space="preserve"> </w:t>
      </w:r>
      <w:r w:rsidR="002E7C74" w:rsidRPr="007B2868">
        <w:rPr>
          <w:sz w:val="24"/>
          <w:szCs w:val="24"/>
          <w:lang w:val="nl-NL"/>
        </w:rPr>
        <w:t>tot de e</w:t>
      </w:r>
      <w:r>
        <w:rPr>
          <w:sz w:val="24"/>
          <w:szCs w:val="24"/>
          <w:lang w:val="nl-NL"/>
        </w:rPr>
        <w:t>conomische ontwikkeling</w:t>
      </w:r>
      <w:r w:rsidR="002E7C74" w:rsidRPr="007B2868">
        <w:rPr>
          <w:sz w:val="24"/>
          <w:szCs w:val="24"/>
          <w:lang w:val="nl-NL"/>
        </w:rPr>
        <w:t xml:space="preserve"> was reëel minder in vergelijking met 2017.</w:t>
      </w:r>
      <w:r w:rsidR="002E7C74">
        <w:rPr>
          <w:sz w:val="24"/>
          <w:szCs w:val="24"/>
          <w:lang w:val="nl-NL"/>
        </w:rPr>
        <w:t xml:space="preserve"> Er is </w:t>
      </w:r>
      <w:r w:rsidR="002E7C74" w:rsidRPr="00536F72">
        <w:rPr>
          <w:sz w:val="24"/>
          <w:szCs w:val="24"/>
          <w:lang w:val="nl-NL"/>
        </w:rPr>
        <w:t>een</w:t>
      </w:r>
      <w:r w:rsidR="002E7C74">
        <w:rPr>
          <w:sz w:val="24"/>
          <w:szCs w:val="24"/>
          <w:lang w:val="nl-NL"/>
        </w:rPr>
        <w:t xml:space="preserve"> daling van 0,4 procent geconstateerd</w:t>
      </w:r>
      <w:r w:rsidR="002E7C74" w:rsidRPr="00536F72">
        <w:rPr>
          <w:sz w:val="24"/>
          <w:szCs w:val="24"/>
          <w:lang w:val="nl-NL"/>
        </w:rPr>
        <w:t>.</w:t>
      </w:r>
      <w:r w:rsidR="002E7C74">
        <w:rPr>
          <w:sz w:val="24"/>
          <w:szCs w:val="24"/>
          <w:lang w:val="nl-NL"/>
        </w:rPr>
        <w:t xml:space="preserve"> </w:t>
      </w:r>
      <w:r w:rsidR="002E7C74" w:rsidRPr="007B2868">
        <w:rPr>
          <w:sz w:val="24"/>
          <w:szCs w:val="24"/>
          <w:lang w:val="nl-NL"/>
        </w:rPr>
        <w:t>In 201</w:t>
      </w:r>
      <w:r w:rsidR="002E7C74">
        <w:rPr>
          <w:sz w:val="24"/>
          <w:szCs w:val="24"/>
          <w:lang w:val="nl-NL"/>
        </w:rPr>
        <w:t>8</w:t>
      </w:r>
      <w:r w:rsidR="002E7C74" w:rsidRPr="007B2868">
        <w:rPr>
          <w:sz w:val="24"/>
          <w:szCs w:val="24"/>
          <w:lang w:val="nl-NL"/>
        </w:rPr>
        <w:t xml:space="preserve"> is de voorlopige toegevoegde waarde van de overheidsactiviteiten gestegen</w:t>
      </w:r>
      <w:r w:rsidR="002E7C74">
        <w:rPr>
          <w:sz w:val="24"/>
          <w:szCs w:val="24"/>
          <w:lang w:val="nl-NL"/>
        </w:rPr>
        <w:t xml:space="preserve"> met name door de prijsontwikkeling</w:t>
      </w:r>
      <w:r w:rsidR="002E7C74" w:rsidRPr="007B2868">
        <w:rPr>
          <w:sz w:val="24"/>
          <w:szCs w:val="24"/>
          <w:lang w:val="nl-NL"/>
        </w:rPr>
        <w:t>.</w:t>
      </w:r>
    </w:p>
    <w:p w:rsidR="001A036F" w:rsidRDefault="001A036F" w:rsidP="00A7204F">
      <w:pPr>
        <w:jc w:val="both"/>
        <w:rPr>
          <w:sz w:val="24"/>
          <w:szCs w:val="24"/>
          <w:lang w:val="nl-NL"/>
        </w:rPr>
      </w:pPr>
      <w:r w:rsidRPr="001A036F">
        <w:rPr>
          <w:sz w:val="24"/>
          <w:szCs w:val="24"/>
          <w:lang w:val="nl-NL"/>
        </w:rPr>
        <w:t xml:space="preserve">In </w:t>
      </w:r>
      <w:r w:rsidR="0072551A">
        <w:rPr>
          <w:sz w:val="24"/>
          <w:szCs w:val="24"/>
          <w:lang w:val="nl-NL"/>
        </w:rPr>
        <w:t xml:space="preserve">de bedrijfstak </w:t>
      </w:r>
      <w:r w:rsidR="00B84005" w:rsidRPr="00411F31">
        <w:rPr>
          <w:i/>
          <w:sz w:val="24"/>
          <w:szCs w:val="24"/>
          <w:lang w:val="nl-NL"/>
        </w:rPr>
        <w:t>O</w:t>
      </w:r>
      <w:r w:rsidRPr="00B84005">
        <w:rPr>
          <w:i/>
          <w:sz w:val="24"/>
          <w:szCs w:val="24"/>
          <w:lang w:val="nl-NL"/>
        </w:rPr>
        <w:t>nderwijs</w:t>
      </w:r>
      <w:r w:rsidRPr="001A036F">
        <w:rPr>
          <w:sz w:val="24"/>
          <w:szCs w:val="24"/>
          <w:lang w:val="nl-NL"/>
        </w:rPr>
        <w:t xml:space="preserve"> </w:t>
      </w:r>
      <w:r w:rsidR="0072551A">
        <w:rPr>
          <w:sz w:val="24"/>
          <w:szCs w:val="24"/>
          <w:lang w:val="nl-NL"/>
        </w:rPr>
        <w:t xml:space="preserve">wordt een voortuitgang getoond in 2018. </w:t>
      </w:r>
      <w:r w:rsidRPr="001A036F">
        <w:rPr>
          <w:sz w:val="24"/>
          <w:szCs w:val="24"/>
          <w:lang w:val="nl-NL"/>
        </w:rPr>
        <w:t>De toegevo</w:t>
      </w:r>
      <w:r w:rsidR="008B55D2">
        <w:rPr>
          <w:sz w:val="24"/>
          <w:szCs w:val="24"/>
          <w:lang w:val="nl-NL"/>
        </w:rPr>
        <w:t xml:space="preserve">egde waarde van particulier onderwijs </w:t>
      </w:r>
      <w:r w:rsidRPr="001A036F">
        <w:rPr>
          <w:sz w:val="24"/>
          <w:szCs w:val="24"/>
          <w:lang w:val="nl-NL"/>
        </w:rPr>
        <w:t>is gestegen met 4,5 procent.</w:t>
      </w:r>
    </w:p>
    <w:p w:rsidR="006A54D7" w:rsidRDefault="006A54D7" w:rsidP="00A7204F">
      <w:pPr>
        <w:jc w:val="both"/>
        <w:rPr>
          <w:sz w:val="24"/>
          <w:szCs w:val="24"/>
          <w:lang w:val="nl-NL"/>
        </w:rPr>
      </w:pPr>
      <w:r>
        <w:rPr>
          <w:sz w:val="24"/>
          <w:szCs w:val="24"/>
          <w:lang w:val="nl-NL"/>
        </w:rPr>
        <w:t xml:space="preserve">In de </w:t>
      </w:r>
      <w:r w:rsidRPr="006A54D7">
        <w:rPr>
          <w:i/>
          <w:sz w:val="24"/>
          <w:szCs w:val="24"/>
          <w:lang w:val="nl-NL"/>
        </w:rPr>
        <w:t>Gezondheidszorg</w:t>
      </w:r>
      <w:r>
        <w:rPr>
          <w:sz w:val="24"/>
          <w:szCs w:val="24"/>
          <w:lang w:val="nl-NL"/>
        </w:rPr>
        <w:t xml:space="preserve"> is er een lichte groei</w:t>
      </w:r>
      <w:r w:rsidR="008B55D2">
        <w:rPr>
          <w:sz w:val="24"/>
          <w:szCs w:val="24"/>
          <w:lang w:val="nl-NL"/>
        </w:rPr>
        <w:t xml:space="preserve"> van 0,</w:t>
      </w:r>
      <w:r w:rsidR="0099099A">
        <w:rPr>
          <w:sz w:val="24"/>
          <w:szCs w:val="24"/>
          <w:lang w:val="nl-NL"/>
        </w:rPr>
        <w:t xml:space="preserve">7 procent in 2018, vergeleken met de lichte negatieve ontwikkeling van 2017. Het is voornamelijk te wijten aan meer werkenden </w:t>
      </w:r>
      <w:r w:rsidR="008B55D2">
        <w:rPr>
          <w:sz w:val="24"/>
          <w:szCs w:val="24"/>
          <w:lang w:val="nl-NL"/>
        </w:rPr>
        <w:t xml:space="preserve">en een stijging van de activiteiten </w:t>
      </w:r>
      <w:r w:rsidR="0099099A">
        <w:rPr>
          <w:sz w:val="24"/>
          <w:szCs w:val="24"/>
          <w:lang w:val="nl-NL"/>
        </w:rPr>
        <w:t xml:space="preserve">in deze </w:t>
      </w:r>
      <w:r w:rsidR="008B55D2">
        <w:rPr>
          <w:sz w:val="24"/>
          <w:szCs w:val="24"/>
          <w:lang w:val="nl-NL"/>
        </w:rPr>
        <w:t>bedrijfstak</w:t>
      </w:r>
      <w:r w:rsidR="0099099A">
        <w:rPr>
          <w:sz w:val="24"/>
          <w:szCs w:val="24"/>
          <w:lang w:val="nl-NL"/>
        </w:rPr>
        <w:t>.</w:t>
      </w:r>
    </w:p>
    <w:p w:rsidR="00B4267E" w:rsidRPr="0063327C" w:rsidRDefault="00974798" w:rsidP="00960EDE">
      <w:pPr>
        <w:pStyle w:val="Heading2"/>
        <w:rPr>
          <w:lang w:val="nl-NL"/>
        </w:rPr>
      </w:pPr>
      <w:r w:rsidRPr="0063327C">
        <w:rPr>
          <w:lang w:val="nl-NL"/>
        </w:rPr>
        <w:lastRenderedPageBreak/>
        <w:t xml:space="preserve">De </w:t>
      </w:r>
      <w:r w:rsidR="0074234C" w:rsidRPr="0063327C">
        <w:rPr>
          <w:lang w:val="nl-NL"/>
        </w:rPr>
        <w:t>wereldeconomie</w:t>
      </w:r>
      <w:r w:rsidR="00B4267E" w:rsidRPr="0063327C">
        <w:rPr>
          <w:lang w:val="nl-NL"/>
        </w:rPr>
        <w:t xml:space="preserve"> </w:t>
      </w:r>
    </w:p>
    <w:p w:rsidR="00B4267E" w:rsidRPr="006C66D1" w:rsidRDefault="00C32192" w:rsidP="00A7204F">
      <w:pPr>
        <w:jc w:val="both"/>
        <w:rPr>
          <w:sz w:val="24"/>
          <w:szCs w:val="24"/>
          <w:lang w:val="nl-NL"/>
        </w:rPr>
      </w:pPr>
      <w:r>
        <w:rPr>
          <w:sz w:val="24"/>
          <w:szCs w:val="24"/>
          <w:lang w:val="nl-NL"/>
        </w:rPr>
        <w:t>I</w:t>
      </w:r>
      <w:r w:rsidRPr="00C32192">
        <w:rPr>
          <w:sz w:val="24"/>
          <w:szCs w:val="24"/>
          <w:lang w:val="nl-NL"/>
        </w:rPr>
        <w:t>n 201</w:t>
      </w:r>
      <w:r w:rsidR="004939EB">
        <w:rPr>
          <w:sz w:val="24"/>
          <w:szCs w:val="24"/>
          <w:lang w:val="nl-NL"/>
        </w:rPr>
        <w:t>8</w:t>
      </w:r>
      <w:r>
        <w:rPr>
          <w:sz w:val="24"/>
          <w:szCs w:val="24"/>
          <w:lang w:val="nl-NL"/>
        </w:rPr>
        <w:t xml:space="preserve"> is</w:t>
      </w:r>
      <w:r w:rsidRPr="00C32192">
        <w:rPr>
          <w:sz w:val="24"/>
          <w:szCs w:val="24"/>
          <w:lang w:val="nl-NL"/>
        </w:rPr>
        <w:t xml:space="preserve"> de groei v</w:t>
      </w:r>
      <w:r w:rsidR="005D3FBF">
        <w:rPr>
          <w:sz w:val="24"/>
          <w:szCs w:val="24"/>
          <w:lang w:val="nl-NL"/>
        </w:rPr>
        <w:t>an</w:t>
      </w:r>
      <w:r>
        <w:rPr>
          <w:sz w:val="24"/>
          <w:szCs w:val="24"/>
          <w:lang w:val="nl-NL"/>
        </w:rPr>
        <w:t xml:space="preserve"> de wereld economie 3,</w:t>
      </w:r>
      <w:r w:rsidR="004939EB">
        <w:rPr>
          <w:sz w:val="24"/>
          <w:szCs w:val="24"/>
          <w:lang w:val="nl-NL"/>
        </w:rPr>
        <w:t>6</w:t>
      </w:r>
      <w:r>
        <w:rPr>
          <w:sz w:val="24"/>
          <w:szCs w:val="24"/>
          <w:lang w:val="nl-NL"/>
        </w:rPr>
        <w:t xml:space="preserve"> procent, dit is overeenkomstig d</w:t>
      </w:r>
      <w:r w:rsidR="00B4267E" w:rsidRPr="006C66D1">
        <w:rPr>
          <w:sz w:val="24"/>
          <w:szCs w:val="24"/>
          <w:lang w:val="nl-NL"/>
        </w:rPr>
        <w:t>e “World Economic Outlook”</w:t>
      </w:r>
      <w:r w:rsidR="00B4267E" w:rsidRPr="006C66D1">
        <w:rPr>
          <w:sz w:val="24"/>
          <w:szCs w:val="24"/>
          <w:vertAlign w:val="superscript"/>
          <w:lang w:val="nl-NL"/>
        </w:rPr>
        <w:footnoteReference w:id="1"/>
      </w:r>
      <w:r w:rsidR="00B4267E" w:rsidRPr="006C66D1">
        <w:rPr>
          <w:sz w:val="24"/>
          <w:szCs w:val="24"/>
          <w:vertAlign w:val="superscript"/>
          <w:lang w:val="nl-NL"/>
        </w:rPr>
        <w:t xml:space="preserve"> </w:t>
      </w:r>
      <w:r w:rsidR="00B4267E" w:rsidRPr="006C66D1">
        <w:rPr>
          <w:sz w:val="24"/>
          <w:szCs w:val="24"/>
          <w:lang w:val="nl-NL"/>
        </w:rPr>
        <w:t>van het Intern</w:t>
      </w:r>
      <w:r>
        <w:rPr>
          <w:sz w:val="24"/>
          <w:szCs w:val="24"/>
          <w:lang w:val="nl-NL"/>
        </w:rPr>
        <w:t>ationaal Monetair Fonds.</w:t>
      </w:r>
      <w:r w:rsidR="00B4267E" w:rsidRPr="006C66D1">
        <w:rPr>
          <w:sz w:val="24"/>
          <w:szCs w:val="24"/>
          <w:lang w:val="nl-NL"/>
        </w:rPr>
        <w:t xml:space="preserve"> In 201</w:t>
      </w:r>
      <w:r w:rsidR="004939EB">
        <w:rPr>
          <w:sz w:val="24"/>
          <w:szCs w:val="24"/>
          <w:lang w:val="nl-NL"/>
        </w:rPr>
        <w:t>8</w:t>
      </w:r>
      <w:r w:rsidR="00B4267E" w:rsidRPr="006C66D1">
        <w:rPr>
          <w:sz w:val="24"/>
          <w:szCs w:val="24"/>
          <w:lang w:val="nl-NL"/>
        </w:rPr>
        <w:t xml:space="preserve"> is de economische </w:t>
      </w:r>
      <w:r w:rsidR="00254867" w:rsidRPr="006C66D1">
        <w:rPr>
          <w:sz w:val="24"/>
          <w:szCs w:val="24"/>
          <w:lang w:val="nl-NL"/>
        </w:rPr>
        <w:t xml:space="preserve">ontwikkeling </w:t>
      </w:r>
      <w:r>
        <w:rPr>
          <w:sz w:val="24"/>
          <w:szCs w:val="24"/>
          <w:lang w:val="nl-NL"/>
        </w:rPr>
        <w:t xml:space="preserve">bijna </w:t>
      </w:r>
      <w:r w:rsidR="006C66D1" w:rsidRPr="006C66D1">
        <w:rPr>
          <w:sz w:val="24"/>
          <w:szCs w:val="24"/>
          <w:lang w:val="nl-NL"/>
        </w:rPr>
        <w:t>gelijk g</w:t>
      </w:r>
      <w:r w:rsidR="004D7D69" w:rsidRPr="006C66D1">
        <w:rPr>
          <w:sz w:val="24"/>
          <w:szCs w:val="24"/>
          <w:lang w:val="nl-NL"/>
        </w:rPr>
        <w:t xml:space="preserve">ebleven </w:t>
      </w:r>
      <w:r w:rsidR="00B4267E" w:rsidRPr="006C66D1">
        <w:rPr>
          <w:sz w:val="24"/>
          <w:szCs w:val="24"/>
          <w:lang w:val="nl-NL"/>
        </w:rPr>
        <w:t>in vergelijking met het jaar 201</w:t>
      </w:r>
      <w:r w:rsidR="004939EB">
        <w:rPr>
          <w:sz w:val="24"/>
          <w:szCs w:val="24"/>
          <w:lang w:val="nl-NL"/>
        </w:rPr>
        <w:t>7</w:t>
      </w:r>
      <w:r w:rsidR="00B4267E" w:rsidRPr="006C66D1">
        <w:rPr>
          <w:sz w:val="24"/>
          <w:szCs w:val="24"/>
          <w:lang w:val="nl-NL"/>
        </w:rPr>
        <w:t xml:space="preserve"> (3,</w:t>
      </w:r>
      <w:r w:rsidR="004939EB">
        <w:rPr>
          <w:sz w:val="24"/>
          <w:szCs w:val="24"/>
          <w:lang w:val="nl-NL"/>
        </w:rPr>
        <w:t>8</w:t>
      </w:r>
      <w:r w:rsidR="00B4267E" w:rsidRPr="006C66D1">
        <w:rPr>
          <w:sz w:val="24"/>
          <w:szCs w:val="24"/>
          <w:lang w:val="nl-NL"/>
        </w:rPr>
        <w:t xml:space="preserve">%). </w:t>
      </w:r>
    </w:p>
    <w:p w:rsidR="002C4E52" w:rsidRPr="001B67F4" w:rsidRDefault="002C4E52" w:rsidP="00A7204F">
      <w:pPr>
        <w:jc w:val="both"/>
        <w:rPr>
          <w:sz w:val="24"/>
          <w:szCs w:val="24"/>
          <w:lang w:val="nl-NL"/>
        </w:rPr>
      </w:pPr>
      <w:r w:rsidRPr="006C66D1">
        <w:rPr>
          <w:sz w:val="24"/>
          <w:szCs w:val="24"/>
          <w:lang w:val="nl-NL"/>
        </w:rPr>
        <w:t>De ontwikkelde economieën geven een gemiddelde groei</w:t>
      </w:r>
      <w:r w:rsidR="003D3843">
        <w:rPr>
          <w:sz w:val="24"/>
          <w:szCs w:val="24"/>
          <w:lang w:val="nl-NL"/>
        </w:rPr>
        <w:t>vertraging</w:t>
      </w:r>
      <w:r w:rsidRPr="006C66D1">
        <w:rPr>
          <w:sz w:val="24"/>
          <w:szCs w:val="24"/>
          <w:lang w:val="nl-NL"/>
        </w:rPr>
        <w:t xml:space="preserve"> aan van </w:t>
      </w:r>
      <w:r w:rsidR="004939EB">
        <w:rPr>
          <w:sz w:val="24"/>
          <w:szCs w:val="24"/>
          <w:lang w:val="nl-NL"/>
        </w:rPr>
        <w:t>2,2</w:t>
      </w:r>
      <w:r w:rsidRPr="006C66D1">
        <w:rPr>
          <w:sz w:val="24"/>
          <w:szCs w:val="24"/>
          <w:lang w:val="nl-NL"/>
        </w:rPr>
        <w:t xml:space="preserve"> procent in 201</w:t>
      </w:r>
      <w:r w:rsidR="004939EB">
        <w:rPr>
          <w:sz w:val="24"/>
          <w:szCs w:val="24"/>
          <w:lang w:val="nl-NL"/>
        </w:rPr>
        <w:t>8</w:t>
      </w:r>
      <w:r w:rsidR="00F91306">
        <w:rPr>
          <w:sz w:val="24"/>
          <w:szCs w:val="24"/>
          <w:lang w:val="nl-NL"/>
        </w:rPr>
        <w:t>,</w:t>
      </w:r>
      <w:r w:rsidR="00CB2CC9">
        <w:rPr>
          <w:sz w:val="24"/>
          <w:szCs w:val="24"/>
          <w:lang w:val="nl-NL"/>
        </w:rPr>
        <w:t xml:space="preserve"> in 201</w:t>
      </w:r>
      <w:r w:rsidR="004939EB">
        <w:rPr>
          <w:sz w:val="24"/>
          <w:szCs w:val="24"/>
          <w:lang w:val="nl-NL"/>
        </w:rPr>
        <w:t>7</w:t>
      </w:r>
      <w:r w:rsidR="00CB2CC9">
        <w:rPr>
          <w:sz w:val="24"/>
          <w:szCs w:val="24"/>
          <w:lang w:val="nl-NL"/>
        </w:rPr>
        <w:t xml:space="preserve"> </w:t>
      </w:r>
      <w:r w:rsidR="00F91306">
        <w:rPr>
          <w:sz w:val="24"/>
          <w:szCs w:val="24"/>
          <w:lang w:val="nl-NL"/>
        </w:rPr>
        <w:t xml:space="preserve">was het </w:t>
      </w:r>
      <w:r w:rsidR="004939EB">
        <w:rPr>
          <w:sz w:val="24"/>
          <w:szCs w:val="24"/>
          <w:lang w:val="nl-NL"/>
        </w:rPr>
        <w:t>2,3</w:t>
      </w:r>
      <w:r w:rsidR="00F91306">
        <w:rPr>
          <w:sz w:val="24"/>
          <w:szCs w:val="24"/>
          <w:lang w:val="nl-NL"/>
        </w:rPr>
        <w:t xml:space="preserve"> p</w:t>
      </w:r>
      <w:r w:rsidR="00C32192">
        <w:rPr>
          <w:sz w:val="24"/>
          <w:szCs w:val="24"/>
          <w:lang w:val="nl-NL"/>
        </w:rPr>
        <w:t>ro</w:t>
      </w:r>
      <w:r w:rsidR="00F91306">
        <w:rPr>
          <w:sz w:val="24"/>
          <w:szCs w:val="24"/>
          <w:lang w:val="nl-NL"/>
        </w:rPr>
        <w:t>cent</w:t>
      </w:r>
      <w:r w:rsidR="00F91306" w:rsidRPr="001B67F4">
        <w:rPr>
          <w:sz w:val="24"/>
          <w:szCs w:val="24"/>
          <w:lang w:val="nl-NL"/>
        </w:rPr>
        <w:t xml:space="preserve">. </w:t>
      </w:r>
      <w:r w:rsidRPr="001B67F4">
        <w:rPr>
          <w:sz w:val="24"/>
          <w:szCs w:val="24"/>
          <w:lang w:val="nl-NL"/>
        </w:rPr>
        <w:t>De groei is voornamelijk beïnvloed door o.a. de Verenigde Staten (</w:t>
      </w:r>
      <w:r w:rsidR="00E657D0" w:rsidRPr="001B67F4">
        <w:rPr>
          <w:sz w:val="24"/>
          <w:szCs w:val="24"/>
          <w:lang w:val="nl-NL"/>
        </w:rPr>
        <w:t>2,</w:t>
      </w:r>
      <w:r w:rsidR="003D3843">
        <w:rPr>
          <w:sz w:val="24"/>
          <w:szCs w:val="24"/>
          <w:lang w:val="nl-NL"/>
        </w:rPr>
        <w:t>9</w:t>
      </w:r>
      <w:r w:rsidRPr="001B67F4">
        <w:rPr>
          <w:sz w:val="24"/>
          <w:szCs w:val="24"/>
          <w:lang w:val="nl-NL"/>
        </w:rPr>
        <w:t>%), de Eurozone (</w:t>
      </w:r>
      <w:r w:rsidR="003D3843">
        <w:rPr>
          <w:sz w:val="24"/>
          <w:szCs w:val="24"/>
          <w:lang w:val="nl-NL"/>
        </w:rPr>
        <w:t>1,8</w:t>
      </w:r>
      <w:r w:rsidRPr="001B67F4">
        <w:rPr>
          <w:sz w:val="24"/>
          <w:szCs w:val="24"/>
          <w:lang w:val="nl-NL"/>
        </w:rPr>
        <w:t>%)</w:t>
      </w:r>
      <w:r w:rsidR="001B67F4" w:rsidRPr="001B67F4">
        <w:rPr>
          <w:sz w:val="24"/>
          <w:szCs w:val="24"/>
          <w:lang w:val="nl-NL"/>
        </w:rPr>
        <w:t xml:space="preserve"> waarvan Nederland </w:t>
      </w:r>
      <w:r w:rsidR="00C32192">
        <w:rPr>
          <w:sz w:val="24"/>
          <w:szCs w:val="24"/>
          <w:lang w:val="nl-NL"/>
        </w:rPr>
        <w:t xml:space="preserve">een toename beleefde in zijn </w:t>
      </w:r>
      <w:r w:rsidR="00B92DE5">
        <w:rPr>
          <w:sz w:val="24"/>
          <w:szCs w:val="24"/>
          <w:lang w:val="nl-NL"/>
        </w:rPr>
        <w:t>economie van</w:t>
      </w:r>
      <w:r w:rsidR="001A62BD">
        <w:rPr>
          <w:sz w:val="24"/>
          <w:szCs w:val="24"/>
          <w:lang w:val="nl-NL"/>
        </w:rPr>
        <w:t xml:space="preserve"> </w:t>
      </w:r>
      <w:r w:rsidR="00643FCA">
        <w:rPr>
          <w:sz w:val="24"/>
          <w:szCs w:val="24"/>
          <w:lang w:val="nl-NL"/>
        </w:rPr>
        <w:t>2,5</w:t>
      </w:r>
      <w:r w:rsidR="001B67F4" w:rsidRPr="001B67F4">
        <w:rPr>
          <w:sz w:val="24"/>
          <w:szCs w:val="24"/>
          <w:lang w:val="nl-NL"/>
        </w:rPr>
        <w:t xml:space="preserve"> procent</w:t>
      </w:r>
      <w:r w:rsidR="001B67F4">
        <w:rPr>
          <w:sz w:val="24"/>
          <w:szCs w:val="24"/>
          <w:lang w:val="nl-NL"/>
        </w:rPr>
        <w:t xml:space="preserve">. Andere landen </w:t>
      </w:r>
      <w:r w:rsidR="0074234C" w:rsidRPr="0074234C">
        <w:rPr>
          <w:sz w:val="24"/>
          <w:szCs w:val="24"/>
          <w:lang w:val="nl-NL"/>
        </w:rPr>
        <w:t>zoals Verenigde</w:t>
      </w:r>
      <w:r w:rsidR="005956BD" w:rsidRPr="0074234C">
        <w:rPr>
          <w:sz w:val="24"/>
          <w:szCs w:val="24"/>
          <w:lang w:val="nl-NL"/>
        </w:rPr>
        <w:t xml:space="preserve"> Koninkrijk </w:t>
      </w:r>
      <w:r w:rsidR="005956BD" w:rsidRPr="001B67F4">
        <w:rPr>
          <w:sz w:val="24"/>
          <w:szCs w:val="24"/>
          <w:lang w:val="nl-NL"/>
        </w:rPr>
        <w:t>(1,</w:t>
      </w:r>
      <w:r w:rsidR="003D3843">
        <w:rPr>
          <w:sz w:val="24"/>
          <w:szCs w:val="24"/>
          <w:lang w:val="nl-NL"/>
        </w:rPr>
        <w:t>4</w:t>
      </w:r>
      <w:r w:rsidR="005956BD" w:rsidRPr="001B67F4">
        <w:rPr>
          <w:sz w:val="24"/>
          <w:szCs w:val="24"/>
          <w:lang w:val="nl-NL"/>
        </w:rPr>
        <w:t xml:space="preserve">%), </w:t>
      </w:r>
      <w:r w:rsidRPr="001B67F4">
        <w:rPr>
          <w:sz w:val="24"/>
          <w:szCs w:val="24"/>
          <w:lang w:val="nl-NL"/>
        </w:rPr>
        <w:t>Canada (</w:t>
      </w:r>
      <w:r w:rsidR="003D3843">
        <w:rPr>
          <w:sz w:val="24"/>
          <w:szCs w:val="24"/>
          <w:lang w:val="nl-NL"/>
        </w:rPr>
        <w:t>1,8</w:t>
      </w:r>
      <w:r w:rsidRPr="001B67F4">
        <w:rPr>
          <w:sz w:val="24"/>
          <w:szCs w:val="24"/>
          <w:lang w:val="nl-NL"/>
        </w:rPr>
        <w:t>%), en Japan (</w:t>
      </w:r>
      <w:r w:rsidR="003D3843">
        <w:rPr>
          <w:sz w:val="24"/>
          <w:szCs w:val="24"/>
          <w:lang w:val="nl-NL"/>
        </w:rPr>
        <w:t>0,8</w:t>
      </w:r>
      <w:r w:rsidRPr="001B67F4">
        <w:rPr>
          <w:sz w:val="24"/>
          <w:szCs w:val="24"/>
          <w:lang w:val="nl-NL"/>
        </w:rPr>
        <w:t>%)</w:t>
      </w:r>
      <w:r w:rsidR="00B92DE5">
        <w:rPr>
          <w:sz w:val="24"/>
          <w:szCs w:val="24"/>
          <w:lang w:val="nl-NL"/>
        </w:rPr>
        <w:t xml:space="preserve"> hebben allemaal een economische groei </w:t>
      </w:r>
      <w:r w:rsidR="008B55D2">
        <w:rPr>
          <w:sz w:val="24"/>
          <w:szCs w:val="24"/>
          <w:lang w:val="nl-NL"/>
        </w:rPr>
        <w:t>in</w:t>
      </w:r>
      <w:r w:rsidR="00B92DE5">
        <w:rPr>
          <w:sz w:val="24"/>
          <w:szCs w:val="24"/>
          <w:lang w:val="nl-NL"/>
        </w:rPr>
        <w:t xml:space="preserve"> 201</w:t>
      </w:r>
      <w:r w:rsidR="003D3843">
        <w:rPr>
          <w:sz w:val="24"/>
          <w:szCs w:val="24"/>
          <w:lang w:val="nl-NL"/>
        </w:rPr>
        <w:t>8</w:t>
      </w:r>
      <w:r w:rsidRPr="001B67F4">
        <w:rPr>
          <w:sz w:val="24"/>
          <w:szCs w:val="24"/>
          <w:lang w:val="nl-NL"/>
        </w:rPr>
        <w:t>.</w:t>
      </w:r>
    </w:p>
    <w:p w:rsidR="00B4267E" w:rsidRPr="00C32192" w:rsidRDefault="00B4267E" w:rsidP="00A7204F">
      <w:pPr>
        <w:jc w:val="both"/>
        <w:rPr>
          <w:sz w:val="24"/>
          <w:szCs w:val="24"/>
          <w:lang w:val="nl-NL"/>
        </w:rPr>
      </w:pPr>
      <w:r w:rsidRPr="006C66D1">
        <w:rPr>
          <w:sz w:val="24"/>
          <w:szCs w:val="24"/>
          <w:lang w:val="nl-NL"/>
        </w:rPr>
        <w:t xml:space="preserve">De opkomende en ontwikkelingseconomieën </w:t>
      </w:r>
      <w:r w:rsidR="00F20683" w:rsidRPr="006C66D1">
        <w:rPr>
          <w:sz w:val="24"/>
          <w:szCs w:val="24"/>
          <w:lang w:val="nl-NL"/>
        </w:rPr>
        <w:t>zetten door met</w:t>
      </w:r>
      <w:r w:rsidRPr="006C66D1">
        <w:rPr>
          <w:sz w:val="24"/>
          <w:szCs w:val="24"/>
          <w:lang w:val="nl-NL"/>
        </w:rPr>
        <w:t xml:space="preserve"> een groei van 4,</w:t>
      </w:r>
      <w:r w:rsidR="008D193B">
        <w:rPr>
          <w:sz w:val="24"/>
          <w:szCs w:val="24"/>
          <w:lang w:val="nl-NL"/>
        </w:rPr>
        <w:t>5</w:t>
      </w:r>
      <w:r w:rsidRPr="006C66D1">
        <w:rPr>
          <w:sz w:val="24"/>
          <w:szCs w:val="24"/>
          <w:lang w:val="nl-NL"/>
        </w:rPr>
        <w:t xml:space="preserve"> procent in 201</w:t>
      </w:r>
      <w:r w:rsidR="008D193B">
        <w:rPr>
          <w:sz w:val="24"/>
          <w:szCs w:val="24"/>
          <w:lang w:val="nl-NL"/>
        </w:rPr>
        <w:t>8</w:t>
      </w:r>
      <w:r w:rsidR="006C66D1" w:rsidRPr="006C66D1">
        <w:rPr>
          <w:sz w:val="24"/>
          <w:szCs w:val="24"/>
          <w:lang w:val="nl-NL"/>
        </w:rPr>
        <w:t>, bijna h</w:t>
      </w:r>
      <w:r w:rsidR="00F20683" w:rsidRPr="006C66D1">
        <w:rPr>
          <w:sz w:val="24"/>
          <w:szCs w:val="24"/>
          <w:lang w:val="nl-NL"/>
        </w:rPr>
        <w:t>etzelfde</w:t>
      </w:r>
      <w:r w:rsidRPr="006C66D1">
        <w:rPr>
          <w:sz w:val="24"/>
          <w:szCs w:val="24"/>
          <w:lang w:val="nl-NL"/>
        </w:rPr>
        <w:t xml:space="preserve"> </w:t>
      </w:r>
      <w:r w:rsidR="006C66D1" w:rsidRPr="006C66D1">
        <w:rPr>
          <w:sz w:val="24"/>
          <w:szCs w:val="24"/>
          <w:lang w:val="nl-NL"/>
        </w:rPr>
        <w:t xml:space="preserve">percentage </w:t>
      </w:r>
      <w:r w:rsidRPr="006C66D1">
        <w:rPr>
          <w:sz w:val="24"/>
          <w:szCs w:val="24"/>
          <w:lang w:val="nl-NL"/>
        </w:rPr>
        <w:t>in vergelijking met 201</w:t>
      </w:r>
      <w:r w:rsidR="008D193B">
        <w:rPr>
          <w:sz w:val="24"/>
          <w:szCs w:val="24"/>
          <w:lang w:val="nl-NL"/>
        </w:rPr>
        <w:t>7</w:t>
      </w:r>
      <w:r w:rsidR="006C66D1" w:rsidRPr="006C66D1">
        <w:rPr>
          <w:sz w:val="24"/>
          <w:szCs w:val="24"/>
          <w:lang w:val="nl-NL"/>
        </w:rPr>
        <w:t xml:space="preserve"> (4,</w:t>
      </w:r>
      <w:r w:rsidR="008D193B">
        <w:rPr>
          <w:sz w:val="24"/>
          <w:szCs w:val="24"/>
          <w:lang w:val="nl-NL"/>
        </w:rPr>
        <w:t>8</w:t>
      </w:r>
      <w:r w:rsidR="006C66D1" w:rsidRPr="00C32192">
        <w:rPr>
          <w:sz w:val="24"/>
          <w:szCs w:val="24"/>
          <w:lang w:val="nl-NL"/>
        </w:rPr>
        <w:t>%)</w:t>
      </w:r>
      <w:r w:rsidRPr="00C32192">
        <w:rPr>
          <w:sz w:val="24"/>
          <w:szCs w:val="24"/>
          <w:lang w:val="nl-NL"/>
        </w:rPr>
        <w:t>. De economieën van Azië zijn</w:t>
      </w:r>
      <w:r w:rsidR="00B92DE5">
        <w:rPr>
          <w:sz w:val="24"/>
          <w:szCs w:val="24"/>
          <w:lang w:val="nl-NL"/>
        </w:rPr>
        <w:t xml:space="preserve"> algeheel </w:t>
      </w:r>
      <w:r w:rsidRPr="00C32192">
        <w:rPr>
          <w:sz w:val="24"/>
          <w:szCs w:val="24"/>
          <w:lang w:val="nl-NL"/>
        </w:rPr>
        <w:t xml:space="preserve">gegroeid met </w:t>
      </w:r>
      <w:r w:rsidR="008D193B">
        <w:rPr>
          <w:sz w:val="24"/>
          <w:szCs w:val="24"/>
          <w:lang w:val="nl-NL"/>
        </w:rPr>
        <w:t>6,4</w:t>
      </w:r>
      <w:r w:rsidRPr="00C32192">
        <w:rPr>
          <w:sz w:val="24"/>
          <w:szCs w:val="24"/>
          <w:lang w:val="nl-NL"/>
        </w:rPr>
        <w:t xml:space="preserve"> procent. </w:t>
      </w:r>
    </w:p>
    <w:p w:rsidR="00B4267E" w:rsidRPr="0074234C" w:rsidRDefault="00B4267E" w:rsidP="00A7204F">
      <w:pPr>
        <w:jc w:val="both"/>
        <w:rPr>
          <w:sz w:val="24"/>
          <w:szCs w:val="24"/>
          <w:lang w:val="nl-NL"/>
        </w:rPr>
      </w:pPr>
      <w:r w:rsidRPr="0074234C">
        <w:rPr>
          <w:sz w:val="24"/>
          <w:szCs w:val="24"/>
          <w:lang w:val="nl-NL"/>
        </w:rPr>
        <w:t>In 201</w:t>
      </w:r>
      <w:r w:rsidR="008D193B">
        <w:rPr>
          <w:sz w:val="24"/>
          <w:szCs w:val="24"/>
          <w:lang w:val="nl-NL"/>
        </w:rPr>
        <w:t>8</w:t>
      </w:r>
      <w:r w:rsidRPr="0074234C">
        <w:rPr>
          <w:sz w:val="24"/>
          <w:szCs w:val="24"/>
          <w:lang w:val="nl-NL"/>
        </w:rPr>
        <w:t xml:space="preserve"> vertoont de economische ontwikkeling van </w:t>
      </w:r>
      <w:r w:rsidR="00CD2285" w:rsidRPr="0074234C">
        <w:rPr>
          <w:sz w:val="24"/>
          <w:szCs w:val="24"/>
          <w:lang w:val="nl-NL"/>
        </w:rPr>
        <w:t>Zuid-Amerika</w:t>
      </w:r>
      <w:r w:rsidR="006C66D1" w:rsidRPr="0074234C">
        <w:rPr>
          <w:sz w:val="24"/>
          <w:szCs w:val="24"/>
          <w:lang w:val="nl-NL"/>
        </w:rPr>
        <w:t xml:space="preserve"> een gemiddelde </w:t>
      </w:r>
      <w:r w:rsidR="00DE6D33">
        <w:rPr>
          <w:sz w:val="24"/>
          <w:szCs w:val="24"/>
          <w:lang w:val="nl-NL"/>
        </w:rPr>
        <w:t>groei</w:t>
      </w:r>
      <w:r w:rsidR="006C66D1" w:rsidRPr="0074234C">
        <w:rPr>
          <w:sz w:val="24"/>
          <w:szCs w:val="24"/>
          <w:lang w:val="nl-NL"/>
        </w:rPr>
        <w:t xml:space="preserve"> van </w:t>
      </w:r>
      <w:r w:rsidR="0074234C" w:rsidRPr="0074234C">
        <w:rPr>
          <w:sz w:val="24"/>
          <w:szCs w:val="24"/>
          <w:lang w:val="nl-NL"/>
        </w:rPr>
        <w:t>0</w:t>
      </w:r>
      <w:r w:rsidR="006C66D1" w:rsidRPr="0074234C">
        <w:rPr>
          <w:sz w:val="24"/>
          <w:szCs w:val="24"/>
          <w:lang w:val="nl-NL"/>
        </w:rPr>
        <w:t>,</w:t>
      </w:r>
      <w:r w:rsidR="00DE6D33">
        <w:rPr>
          <w:sz w:val="24"/>
          <w:szCs w:val="24"/>
          <w:lang w:val="nl-NL"/>
        </w:rPr>
        <w:t>4</w:t>
      </w:r>
      <w:r w:rsidR="008B12B9" w:rsidRPr="0074234C">
        <w:rPr>
          <w:sz w:val="24"/>
          <w:szCs w:val="24"/>
          <w:lang w:val="nl-NL"/>
        </w:rPr>
        <w:t xml:space="preserve"> procent</w:t>
      </w:r>
      <w:r w:rsidR="006C66D1" w:rsidRPr="0074234C">
        <w:rPr>
          <w:sz w:val="24"/>
          <w:szCs w:val="24"/>
          <w:lang w:val="nl-NL"/>
        </w:rPr>
        <w:t xml:space="preserve">, terwijl </w:t>
      </w:r>
      <w:r w:rsidR="00CD2285" w:rsidRPr="0074234C">
        <w:rPr>
          <w:sz w:val="24"/>
          <w:szCs w:val="24"/>
          <w:lang w:val="nl-NL"/>
        </w:rPr>
        <w:t>Midden-</w:t>
      </w:r>
      <w:r w:rsidR="00AE49C7" w:rsidRPr="0074234C">
        <w:rPr>
          <w:sz w:val="24"/>
          <w:szCs w:val="24"/>
          <w:lang w:val="nl-NL"/>
        </w:rPr>
        <w:t xml:space="preserve"> </w:t>
      </w:r>
      <w:r w:rsidR="00CD2285" w:rsidRPr="0074234C">
        <w:rPr>
          <w:sz w:val="24"/>
          <w:szCs w:val="24"/>
          <w:lang w:val="nl-NL"/>
        </w:rPr>
        <w:t>Amerika</w:t>
      </w:r>
      <w:r w:rsidR="006C66D1" w:rsidRPr="0074234C">
        <w:rPr>
          <w:sz w:val="24"/>
          <w:szCs w:val="24"/>
          <w:lang w:val="nl-NL"/>
        </w:rPr>
        <w:t xml:space="preserve"> een stijging van </w:t>
      </w:r>
      <w:r w:rsidR="00DE6D33">
        <w:rPr>
          <w:sz w:val="24"/>
          <w:szCs w:val="24"/>
          <w:lang w:val="nl-NL"/>
        </w:rPr>
        <w:t>2</w:t>
      </w:r>
      <w:r w:rsidR="006C66D1" w:rsidRPr="0074234C">
        <w:rPr>
          <w:sz w:val="24"/>
          <w:szCs w:val="24"/>
          <w:lang w:val="nl-NL"/>
        </w:rPr>
        <w:t>,</w:t>
      </w:r>
      <w:r w:rsidR="0074234C" w:rsidRPr="0074234C">
        <w:rPr>
          <w:sz w:val="24"/>
          <w:szCs w:val="24"/>
          <w:lang w:val="nl-NL"/>
        </w:rPr>
        <w:t>7</w:t>
      </w:r>
      <w:r w:rsidR="008B12B9" w:rsidRPr="0074234C">
        <w:rPr>
          <w:sz w:val="24"/>
          <w:szCs w:val="24"/>
          <w:lang w:val="nl-NL"/>
        </w:rPr>
        <w:t xml:space="preserve"> </w:t>
      </w:r>
      <w:r w:rsidR="006C66D1" w:rsidRPr="0074234C">
        <w:rPr>
          <w:sz w:val="24"/>
          <w:szCs w:val="24"/>
          <w:lang w:val="nl-NL"/>
        </w:rPr>
        <w:t xml:space="preserve">procent aangeeft. </w:t>
      </w:r>
      <w:r w:rsidRPr="00907966">
        <w:rPr>
          <w:sz w:val="24"/>
          <w:szCs w:val="24"/>
          <w:lang w:val="nl-NL"/>
        </w:rPr>
        <w:t xml:space="preserve">De Caribische regio heeft een </w:t>
      </w:r>
      <w:r w:rsidR="005956BD" w:rsidRPr="00907966">
        <w:rPr>
          <w:sz w:val="24"/>
          <w:szCs w:val="24"/>
          <w:lang w:val="nl-NL"/>
        </w:rPr>
        <w:t xml:space="preserve">reële </w:t>
      </w:r>
      <w:r w:rsidRPr="00907966">
        <w:rPr>
          <w:sz w:val="24"/>
          <w:szCs w:val="24"/>
          <w:lang w:val="nl-NL"/>
        </w:rPr>
        <w:t xml:space="preserve">groei van gemiddeld </w:t>
      </w:r>
      <w:r w:rsidR="00DE6D33">
        <w:rPr>
          <w:sz w:val="24"/>
          <w:szCs w:val="24"/>
          <w:lang w:val="nl-NL"/>
        </w:rPr>
        <w:t>4</w:t>
      </w:r>
      <w:r w:rsidR="00907966" w:rsidRPr="00907966">
        <w:rPr>
          <w:sz w:val="24"/>
          <w:szCs w:val="24"/>
          <w:lang w:val="nl-NL"/>
        </w:rPr>
        <w:t>,7 procent in 201</w:t>
      </w:r>
      <w:r w:rsidR="008B55D2">
        <w:rPr>
          <w:sz w:val="24"/>
          <w:szCs w:val="24"/>
          <w:lang w:val="nl-NL"/>
        </w:rPr>
        <w:t>8</w:t>
      </w:r>
      <w:r w:rsidR="00907966" w:rsidRPr="00907966">
        <w:rPr>
          <w:sz w:val="24"/>
          <w:szCs w:val="24"/>
          <w:lang w:val="nl-NL"/>
        </w:rPr>
        <w:t xml:space="preserve"> (</w:t>
      </w:r>
      <w:r w:rsidR="00DE6D33">
        <w:rPr>
          <w:sz w:val="24"/>
          <w:szCs w:val="24"/>
          <w:lang w:val="nl-NL"/>
        </w:rPr>
        <w:t>2,7</w:t>
      </w:r>
      <w:r w:rsidR="00907966" w:rsidRPr="00907966">
        <w:rPr>
          <w:sz w:val="24"/>
          <w:szCs w:val="24"/>
          <w:lang w:val="nl-NL"/>
        </w:rPr>
        <w:t>%</w:t>
      </w:r>
      <w:r w:rsidRPr="00907966">
        <w:rPr>
          <w:sz w:val="24"/>
          <w:szCs w:val="24"/>
          <w:lang w:val="nl-NL"/>
        </w:rPr>
        <w:t xml:space="preserve"> in 201</w:t>
      </w:r>
      <w:r w:rsidR="00DE6D33">
        <w:rPr>
          <w:sz w:val="24"/>
          <w:szCs w:val="24"/>
          <w:lang w:val="nl-NL"/>
        </w:rPr>
        <w:t>7</w:t>
      </w:r>
      <w:r w:rsidR="00907966" w:rsidRPr="0074234C">
        <w:rPr>
          <w:sz w:val="24"/>
          <w:szCs w:val="24"/>
          <w:lang w:val="nl-NL"/>
        </w:rPr>
        <w:t>)</w:t>
      </w:r>
      <w:r w:rsidRPr="0074234C">
        <w:rPr>
          <w:sz w:val="24"/>
          <w:szCs w:val="24"/>
          <w:lang w:val="nl-NL"/>
        </w:rPr>
        <w:t xml:space="preserve">. De economische ontwikkeling in Curaçao </w:t>
      </w:r>
      <w:r w:rsidR="005573CC" w:rsidRPr="0074234C">
        <w:rPr>
          <w:sz w:val="24"/>
          <w:szCs w:val="24"/>
          <w:lang w:val="nl-NL"/>
        </w:rPr>
        <w:t>loopt helaas achter</w:t>
      </w:r>
      <w:r w:rsidR="002131CA" w:rsidRPr="0074234C">
        <w:rPr>
          <w:sz w:val="24"/>
          <w:szCs w:val="24"/>
          <w:lang w:val="nl-NL"/>
        </w:rPr>
        <w:t xml:space="preserve"> </w:t>
      </w:r>
      <w:r w:rsidRPr="0074234C">
        <w:rPr>
          <w:sz w:val="24"/>
          <w:szCs w:val="24"/>
          <w:lang w:val="nl-NL"/>
        </w:rPr>
        <w:t xml:space="preserve">in </w:t>
      </w:r>
      <w:r w:rsidR="00054CD0" w:rsidRPr="0074234C">
        <w:rPr>
          <w:sz w:val="24"/>
          <w:szCs w:val="24"/>
          <w:lang w:val="nl-NL"/>
        </w:rPr>
        <w:t>201</w:t>
      </w:r>
      <w:r w:rsidR="00DE6D33">
        <w:rPr>
          <w:sz w:val="24"/>
          <w:szCs w:val="24"/>
          <w:lang w:val="nl-NL"/>
        </w:rPr>
        <w:t>8</w:t>
      </w:r>
      <w:r w:rsidR="00054CD0" w:rsidRPr="0074234C">
        <w:rPr>
          <w:sz w:val="24"/>
          <w:szCs w:val="24"/>
          <w:lang w:val="nl-NL"/>
        </w:rPr>
        <w:t xml:space="preserve">, </w:t>
      </w:r>
      <w:r w:rsidRPr="0074234C">
        <w:rPr>
          <w:sz w:val="24"/>
          <w:szCs w:val="24"/>
          <w:lang w:val="nl-NL"/>
        </w:rPr>
        <w:t xml:space="preserve">vergeleken met </w:t>
      </w:r>
      <w:r w:rsidR="00054CD0" w:rsidRPr="0074234C">
        <w:rPr>
          <w:sz w:val="24"/>
          <w:szCs w:val="24"/>
          <w:lang w:val="nl-NL"/>
        </w:rPr>
        <w:t>de</w:t>
      </w:r>
      <w:r w:rsidRPr="0074234C">
        <w:rPr>
          <w:sz w:val="24"/>
          <w:szCs w:val="24"/>
          <w:lang w:val="nl-NL"/>
        </w:rPr>
        <w:t xml:space="preserve"> gemiddelde </w:t>
      </w:r>
      <w:r w:rsidR="00054CD0" w:rsidRPr="0074234C">
        <w:rPr>
          <w:sz w:val="24"/>
          <w:szCs w:val="24"/>
          <w:lang w:val="nl-NL"/>
        </w:rPr>
        <w:t xml:space="preserve">voortgang </w:t>
      </w:r>
      <w:r w:rsidRPr="0074234C">
        <w:rPr>
          <w:sz w:val="24"/>
          <w:szCs w:val="24"/>
          <w:lang w:val="nl-NL"/>
        </w:rPr>
        <w:t>van de Caribische regio</w:t>
      </w:r>
      <w:r w:rsidR="001A62BD">
        <w:rPr>
          <w:sz w:val="24"/>
          <w:szCs w:val="24"/>
          <w:lang w:val="nl-NL"/>
        </w:rPr>
        <w:t xml:space="preserve"> en de rest van de </w:t>
      </w:r>
      <w:r w:rsidR="005A70E8">
        <w:rPr>
          <w:sz w:val="24"/>
          <w:szCs w:val="24"/>
          <w:lang w:val="nl-NL"/>
        </w:rPr>
        <w:t>wereld.</w:t>
      </w:r>
    </w:p>
    <w:p w:rsidR="00B4267E" w:rsidRPr="00054CD0" w:rsidRDefault="00B4267E" w:rsidP="00A7204F">
      <w:pPr>
        <w:jc w:val="both"/>
        <w:rPr>
          <w:sz w:val="24"/>
          <w:szCs w:val="24"/>
          <w:lang w:val="nl-NL"/>
        </w:rPr>
      </w:pPr>
      <w:r w:rsidRPr="00054CD0">
        <w:rPr>
          <w:sz w:val="24"/>
          <w:szCs w:val="24"/>
          <w:lang w:val="nl-NL"/>
        </w:rPr>
        <w:t xml:space="preserve"> </w:t>
      </w:r>
    </w:p>
    <w:p w:rsidR="00B4267E" w:rsidRPr="00054CD0" w:rsidRDefault="00B4267E" w:rsidP="00974798">
      <w:pPr>
        <w:jc w:val="center"/>
        <w:rPr>
          <w:sz w:val="24"/>
          <w:szCs w:val="24"/>
          <w:lang w:val="nl-NL"/>
        </w:rPr>
      </w:pPr>
      <w:r w:rsidRPr="00054CD0">
        <w:rPr>
          <w:sz w:val="24"/>
          <w:szCs w:val="24"/>
          <w:lang w:val="nl-NL"/>
        </w:rPr>
        <w:t>////////////////////////</w:t>
      </w:r>
    </w:p>
    <w:p w:rsidR="00B4267E" w:rsidRDefault="00B4267E">
      <w:pPr>
        <w:rPr>
          <w:lang w:val="nl-NL"/>
        </w:rPr>
      </w:pPr>
    </w:p>
    <w:p w:rsidR="00E9314E" w:rsidRDefault="00E9314E">
      <w:pPr>
        <w:rPr>
          <w:lang w:val="nl-NL"/>
        </w:rPr>
      </w:pPr>
    </w:p>
    <w:p w:rsidR="00E9314E" w:rsidRDefault="00E9314E">
      <w:pPr>
        <w:rPr>
          <w:lang w:val="nl-NL"/>
        </w:rPr>
      </w:pPr>
    </w:p>
    <w:p w:rsidR="00E9314E" w:rsidRDefault="00E9314E">
      <w:pPr>
        <w:rPr>
          <w:lang w:val="nl-NL"/>
        </w:rPr>
      </w:pPr>
    </w:p>
    <w:p w:rsidR="00E9314E" w:rsidRDefault="00E9314E">
      <w:pPr>
        <w:rPr>
          <w:lang w:val="nl-NL"/>
        </w:rPr>
      </w:pPr>
    </w:p>
    <w:p w:rsidR="00E9314E" w:rsidRDefault="00E9314E">
      <w:pPr>
        <w:rPr>
          <w:lang w:val="nl-NL"/>
        </w:rPr>
      </w:pPr>
    </w:p>
    <w:p w:rsidR="0063327C" w:rsidRDefault="0063327C">
      <w:pPr>
        <w:rPr>
          <w:lang w:val="nl-NL"/>
        </w:rPr>
      </w:pPr>
    </w:p>
    <w:p w:rsidR="0063327C" w:rsidRDefault="0063327C">
      <w:pPr>
        <w:rPr>
          <w:lang w:val="nl-NL"/>
        </w:rPr>
      </w:pPr>
    </w:p>
    <w:p w:rsidR="0063327C" w:rsidRDefault="0063327C">
      <w:pPr>
        <w:rPr>
          <w:lang w:val="nl-NL"/>
        </w:rPr>
      </w:pPr>
    </w:p>
    <w:tbl>
      <w:tblPr>
        <w:tblStyle w:val="TableGrid"/>
        <w:tblW w:w="0" w:type="auto"/>
        <w:tblLook w:val="04A0" w:firstRow="1" w:lastRow="0" w:firstColumn="1" w:lastColumn="0" w:noHBand="0" w:noVBand="1"/>
      </w:tblPr>
      <w:tblGrid>
        <w:gridCol w:w="975"/>
        <w:gridCol w:w="5966"/>
        <w:gridCol w:w="803"/>
        <w:gridCol w:w="803"/>
        <w:gridCol w:w="803"/>
      </w:tblGrid>
      <w:tr w:rsidR="00C95099" w:rsidRPr="00C95099" w:rsidTr="00FE032C">
        <w:trPr>
          <w:trHeight w:val="1182"/>
        </w:trPr>
        <w:tc>
          <w:tcPr>
            <w:tcW w:w="9350" w:type="dxa"/>
            <w:gridSpan w:val="5"/>
            <w:noWrap/>
            <w:hideMark/>
          </w:tcPr>
          <w:p w:rsidR="00C95099" w:rsidRPr="00C95099" w:rsidRDefault="00C95099">
            <w:r w:rsidRPr="00C95099">
              <w:rPr>
                <w:noProof/>
              </w:rPr>
              <w:lastRenderedPageBreak/>
              <w:drawing>
                <wp:anchor distT="0" distB="0" distL="114300" distR="114300" simplePos="0" relativeHeight="251659264" behindDoc="0" locked="0" layoutInCell="1" allowOverlap="1">
                  <wp:simplePos x="0" y="0"/>
                  <wp:positionH relativeFrom="column">
                    <wp:posOffset>60960</wp:posOffset>
                  </wp:positionH>
                  <wp:positionV relativeFrom="paragraph">
                    <wp:posOffset>-30480</wp:posOffset>
                  </wp:positionV>
                  <wp:extent cx="3040380" cy="716280"/>
                  <wp:effectExtent l="0" t="0" r="0" b="0"/>
                  <wp:wrapNone/>
                  <wp:docPr id="3" name="Picture 3" descr="logo"/>
                  <wp:cNvGraphicFramePr/>
                  <a:graphic xmlns:a="http://schemas.openxmlformats.org/drawingml/2006/main">
                    <a:graphicData uri="http://schemas.openxmlformats.org/drawingml/2006/picture">
                      <pic:pic xmlns:pic="http://schemas.openxmlformats.org/drawingml/2006/picture">
                        <pic:nvPicPr>
                          <pic:cNvPr id="3" name="Picture 2"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0380" cy="7162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C95099" w:rsidRPr="00C95099">
              <w:trPr>
                <w:trHeight w:val="288"/>
                <w:tblCellSpacing w:w="0" w:type="dxa"/>
              </w:trPr>
              <w:tc>
                <w:tcPr>
                  <w:tcW w:w="960" w:type="dxa"/>
                  <w:tcBorders>
                    <w:top w:val="nil"/>
                    <w:left w:val="nil"/>
                    <w:bottom w:val="nil"/>
                    <w:right w:val="nil"/>
                  </w:tcBorders>
                  <w:shd w:val="clear" w:color="auto" w:fill="auto"/>
                  <w:noWrap/>
                  <w:vAlign w:val="bottom"/>
                  <w:hideMark/>
                </w:tcPr>
                <w:p w:rsidR="00C95099" w:rsidRPr="00C95099" w:rsidRDefault="00C95099"/>
              </w:tc>
            </w:tr>
          </w:tbl>
          <w:p w:rsidR="00C95099" w:rsidRPr="00C95099" w:rsidRDefault="00C95099"/>
        </w:tc>
      </w:tr>
      <w:tr w:rsidR="00C95099" w:rsidRPr="00C95099" w:rsidTr="00EB22F7">
        <w:trPr>
          <w:trHeight w:val="288"/>
        </w:trPr>
        <w:tc>
          <w:tcPr>
            <w:tcW w:w="9350" w:type="dxa"/>
            <w:gridSpan w:val="5"/>
            <w:noWrap/>
            <w:hideMark/>
          </w:tcPr>
          <w:p w:rsidR="00C95099" w:rsidRPr="00C95099" w:rsidRDefault="00C95099">
            <w:r w:rsidRPr="00C95099">
              <w:rPr>
                <w:b/>
                <w:bCs/>
              </w:rPr>
              <w:t>Preliminary Gross Domestic product (GDP) by sector and industry, Curaçao ( % REAL CHANGE)</w:t>
            </w:r>
          </w:p>
        </w:tc>
      </w:tr>
      <w:tr w:rsidR="00C95099" w:rsidRPr="00C95099" w:rsidTr="00C95099">
        <w:trPr>
          <w:trHeight w:val="288"/>
        </w:trPr>
        <w:tc>
          <w:tcPr>
            <w:tcW w:w="975" w:type="dxa"/>
            <w:noWrap/>
            <w:hideMark/>
          </w:tcPr>
          <w:p w:rsidR="00C95099" w:rsidRPr="00C95099" w:rsidRDefault="00C95099">
            <w:r w:rsidRPr="00C95099">
              <w:t> </w:t>
            </w:r>
          </w:p>
        </w:tc>
        <w:tc>
          <w:tcPr>
            <w:tcW w:w="5966" w:type="dxa"/>
            <w:noWrap/>
            <w:hideMark/>
          </w:tcPr>
          <w:p w:rsidR="00C95099" w:rsidRPr="00C95099" w:rsidRDefault="00C95099">
            <w:r w:rsidRPr="00C95099">
              <w:t> </w:t>
            </w:r>
          </w:p>
        </w:tc>
        <w:tc>
          <w:tcPr>
            <w:tcW w:w="803" w:type="dxa"/>
            <w:noWrap/>
            <w:hideMark/>
          </w:tcPr>
          <w:p w:rsidR="00C95099" w:rsidRPr="00C95099" w:rsidRDefault="00C95099" w:rsidP="00C95099">
            <w:pPr>
              <w:rPr>
                <w:b/>
                <w:bCs/>
              </w:rPr>
            </w:pPr>
            <w:r w:rsidRPr="00C95099">
              <w:rPr>
                <w:b/>
                <w:bCs/>
              </w:rPr>
              <w:t>2016</w:t>
            </w:r>
          </w:p>
        </w:tc>
        <w:tc>
          <w:tcPr>
            <w:tcW w:w="803" w:type="dxa"/>
            <w:noWrap/>
            <w:hideMark/>
          </w:tcPr>
          <w:p w:rsidR="00C95099" w:rsidRPr="00C95099" w:rsidRDefault="00C95099" w:rsidP="00C95099">
            <w:pPr>
              <w:rPr>
                <w:b/>
                <w:bCs/>
              </w:rPr>
            </w:pPr>
            <w:r w:rsidRPr="00C95099">
              <w:rPr>
                <w:b/>
                <w:bCs/>
              </w:rPr>
              <w:t>2017</w:t>
            </w:r>
          </w:p>
        </w:tc>
        <w:tc>
          <w:tcPr>
            <w:tcW w:w="803" w:type="dxa"/>
            <w:noWrap/>
            <w:hideMark/>
          </w:tcPr>
          <w:p w:rsidR="00C95099" w:rsidRPr="00C95099" w:rsidRDefault="00C95099" w:rsidP="00C95099">
            <w:pPr>
              <w:rPr>
                <w:b/>
                <w:bCs/>
              </w:rPr>
            </w:pPr>
            <w:r w:rsidRPr="00C95099">
              <w:rPr>
                <w:b/>
                <w:bCs/>
              </w:rPr>
              <w:t>2018</w:t>
            </w:r>
          </w:p>
        </w:tc>
      </w:tr>
      <w:tr w:rsidR="00C95099" w:rsidRPr="00C95099" w:rsidTr="00C95099">
        <w:trPr>
          <w:trHeight w:val="288"/>
        </w:trPr>
        <w:tc>
          <w:tcPr>
            <w:tcW w:w="975" w:type="dxa"/>
            <w:noWrap/>
            <w:hideMark/>
          </w:tcPr>
          <w:p w:rsidR="00C95099" w:rsidRPr="00C95099" w:rsidRDefault="00C95099" w:rsidP="00C95099">
            <w:pPr>
              <w:rPr>
                <w:b/>
                <w:bCs/>
              </w:rPr>
            </w:pPr>
          </w:p>
        </w:tc>
        <w:tc>
          <w:tcPr>
            <w:tcW w:w="5966" w:type="dxa"/>
            <w:noWrap/>
            <w:hideMark/>
          </w:tcPr>
          <w:p w:rsidR="00C95099" w:rsidRPr="00C95099" w:rsidRDefault="00C95099">
            <w:pPr>
              <w:rPr>
                <w:b/>
                <w:bCs/>
              </w:rPr>
            </w:pPr>
            <w:r w:rsidRPr="00C95099">
              <w:rPr>
                <w:b/>
                <w:bCs/>
              </w:rPr>
              <w:t>Non-financial corporations</w:t>
            </w:r>
          </w:p>
        </w:tc>
        <w:tc>
          <w:tcPr>
            <w:tcW w:w="803" w:type="dxa"/>
            <w:noWrap/>
            <w:hideMark/>
          </w:tcPr>
          <w:p w:rsidR="00C95099" w:rsidRPr="00C95099" w:rsidRDefault="00C95099">
            <w:pPr>
              <w:rPr>
                <w:b/>
                <w:bCs/>
              </w:rPr>
            </w:pPr>
          </w:p>
        </w:tc>
        <w:tc>
          <w:tcPr>
            <w:tcW w:w="803" w:type="dxa"/>
            <w:noWrap/>
            <w:hideMark/>
          </w:tcPr>
          <w:p w:rsidR="00C95099" w:rsidRPr="00C95099" w:rsidRDefault="00C95099"/>
        </w:tc>
        <w:tc>
          <w:tcPr>
            <w:tcW w:w="803" w:type="dxa"/>
            <w:noWrap/>
            <w:hideMark/>
          </w:tcPr>
          <w:p w:rsidR="00C95099" w:rsidRPr="00C95099" w:rsidRDefault="00C95099"/>
        </w:tc>
      </w:tr>
      <w:tr w:rsidR="00C95099" w:rsidRPr="00C95099" w:rsidTr="00C95099">
        <w:trPr>
          <w:trHeight w:val="288"/>
        </w:trPr>
        <w:tc>
          <w:tcPr>
            <w:tcW w:w="975" w:type="dxa"/>
            <w:noWrap/>
            <w:hideMark/>
          </w:tcPr>
          <w:p w:rsidR="00C95099" w:rsidRPr="00C95099" w:rsidRDefault="00C95099">
            <w:r w:rsidRPr="00C95099">
              <w:t>A+B+C   </w:t>
            </w:r>
          </w:p>
        </w:tc>
        <w:tc>
          <w:tcPr>
            <w:tcW w:w="5966" w:type="dxa"/>
            <w:noWrap/>
            <w:hideMark/>
          </w:tcPr>
          <w:p w:rsidR="00C95099" w:rsidRPr="00C95099" w:rsidRDefault="00C95099">
            <w:r w:rsidRPr="00C95099">
              <w:t>Agriculture, fishing and mining</w:t>
            </w:r>
          </w:p>
        </w:tc>
        <w:tc>
          <w:tcPr>
            <w:tcW w:w="803" w:type="dxa"/>
            <w:noWrap/>
            <w:hideMark/>
          </w:tcPr>
          <w:p w:rsidR="00C95099" w:rsidRPr="00C95099" w:rsidRDefault="00C95099" w:rsidP="00C95099">
            <w:r w:rsidRPr="00C95099">
              <w:t>2.7</w:t>
            </w:r>
          </w:p>
        </w:tc>
        <w:tc>
          <w:tcPr>
            <w:tcW w:w="803" w:type="dxa"/>
            <w:noWrap/>
            <w:hideMark/>
          </w:tcPr>
          <w:p w:rsidR="00C95099" w:rsidRPr="00C95099" w:rsidRDefault="00C95099" w:rsidP="00C95099">
            <w:r w:rsidRPr="00C95099">
              <w:t>-1.9</w:t>
            </w:r>
          </w:p>
        </w:tc>
        <w:tc>
          <w:tcPr>
            <w:tcW w:w="803" w:type="dxa"/>
            <w:noWrap/>
            <w:hideMark/>
          </w:tcPr>
          <w:p w:rsidR="00C95099" w:rsidRPr="00C95099" w:rsidRDefault="00C95099" w:rsidP="00C95099">
            <w:r w:rsidRPr="00C95099">
              <w:t>-5.4</w:t>
            </w:r>
          </w:p>
        </w:tc>
      </w:tr>
      <w:tr w:rsidR="00C95099" w:rsidRPr="00C95099" w:rsidTr="00C95099">
        <w:trPr>
          <w:trHeight w:val="288"/>
        </w:trPr>
        <w:tc>
          <w:tcPr>
            <w:tcW w:w="975" w:type="dxa"/>
            <w:noWrap/>
            <w:hideMark/>
          </w:tcPr>
          <w:p w:rsidR="00C95099" w:rsidRPr="00C95099" w:rsidRDefault="00C95099" w:rsidP="00C95099">
            <w:r w:rsidRPr="00C95099">
              <w:t>D</w:t>
            </w:r>
          </w:p>
        </w:tc>
        <w:tc>
          <w:tcPr>
            <w:tcW w:w="5966" w:type="dxa"/>
            <w:noWrap/>
            <w:hideMark/>
          </w:tcPr>
          <w:p w:rsidR="00C95099" w:rsidRPr="00C95099" w:rsidRDefault="00C95099">
            <w:r w:rsidRPr="00C95099">
              <w:t>Manufacturing</w:t>
            </w:r>
          </w:p>
        </w:tc>
        <w:tc>
          <w:tcPr>
            <w:tcW w:w="803" w:type="dxa"/>
            <w:noWrap/>
            <w:hideMark/>
          </w:tcPr>
          <w:p w:rsidR="00C95099" w:rsidRPr="00C95099" w:rsidRDefault="00C95099" w:rsidP="00C95099">
            <w:r w:rsidRPr="00C95099">
              <w:t>-5.6</w:t>
            </w:r>
          </w:p>
        </w:tc>
        <w:tc>
          <w:tcPr>
            <w:tcW w:w="803" w:type="dxa"/>
            <w:noWrap/>
            <w:hideMark/>
          </w:tcPr>
          <w:p w:rsidR="00C95099" w:rsidRPr="00C95099" w:rsidRDefault="00C95099" w:rsidP="00C95099">
            <w:r w:rsidRPr="00C95099">
              <w:t>-3.5</w:t>
            </w:r>
          </w:p>
        </w:tc>
        <w:tc>
          <w:tcPr>
            <w:tcW w:w="803" w:type="dxa"/>
            <w:noWrap/>
            <w:hideMark/>
          </w:tcPr>
          <w:p w:rsidR="00C95099" w:rsidRPr="00C95099" w:rsidRDefault="00C95099" w:rsidP="00C95099">
            <w:r w:rsidRPr="00C95099">
              <w:t>-14.3</w:t>
            </w:r>
          </w:p>
        </w:tc>
      </w:tr>
      <w:tr w:rsidR="00C95099" w:rsidRPr="00C95099" w:rsidTr="00C95099">
        <w:trPr>
          <w:trHeight w:val="288"/>
        </w:trPr>
        <w:tc>
          <w:tcPr>
            <w:tcW w:w="975" w:type="dxa"/>
            <w:noWrap/>
            <w:hideMark/>
          </w:tcPr>
          <w:p w:rsidR="00C95099" w:rsidRPr="00C95099" w:rsidRDefault="00C95099" w:rsidP="00C95099">
            <w:r w:rsidRPr="00C95099">
              <w:t>E</w:t>
            </w:r>
          </w:p>
        </w:tc>
        <w:tc>
          <w:tcPr>
            <w:tcW w:w="5966" w:type="dxa"/>
            <w:noWrap/>
            <w:hideMark/>
          </w:tcPr>
          <w:p w:rsidR="00C95099" w:rsidRPr="00C95099" w:rsidRDefault="00C95099">
            <w:r w:rsidRPr="00C95099">
              <w:t>Electricity, gas and water</w:t>
            </w:r>
          </w:p>
        </w:tc>
        <w:tc>
          <w:tcPr>
            <w:tcW w:w="803" w:type="dxa"/>
            <w:noWrap/>
            <w:hideMark/>
          </w:tcPr>
          <w:p w:rsidR="00C95099" w:rsidRPr="00C95099" w:rsidRDefault="00C95099" w:rsidP="00C95099">
            <w:r w:rsidRPr="00C95099">
              <w:t>3.8</w:t>
            </w:r>
          </w:p>
        </w:tc>
        <w:tc>
          <w:tcPr>
            <w:tcW w:w="803" w:type="dxa"/>
            <w:noWrap/>
            <w:hideMark/>
          </w:tcPr>
          <w:p w:rsidR="00C95099" w:rsidRPr="00C95099" w:rsidRDefault="00C95099" w:rsidP="00C95099">
            <w:r w:rsidRPr="00C95099">
              <w:t>3.6</w:t>
            </w:r>
          </w:p>
        </w:tc>
        <w:tc>
          <w:tcPr>
            <w:tcW w:w="803" w:type="dxa"/>
            <w:noWrap/>
            <w:hideMark/>
          </w:tcPr>
          <w:p w:rsidR="00C95099" w:rsidRPr="00C95099" w:rsidRDefault="00C95099" w:rsidP="00C95099">
            <w:r w:rsidRPr="00C95099">
              <w:t>-1.7</w:t>
            </w:r>
          </w:p>
        </w:tc>
      </w:tr>
      <w:tr w:rsidR="00C95099" w:rsidRPr="00C95099" w:rsidTr="00C95099">
        <w:trPr>
          <w:trHeight w:val="312"/>
        </w:trPr>
        <w:tc>
          <w:tcPr>
            <w:tcW w:w="975" w:type="dxa"/>
            <w:noWrap/>
            <w:hideMark/>
          </w:tcPr>
          <w:p w:rsidR="00C95099" w:rsidRPr="00C95099" w:rsidRDefault="00C95099" w:rsidP="00C95099">
            <w:r w:rsidRPr="00C95099">
              <w:t>F</w:t>
            </w:r>
          </w:p>
        </w:tc>
        <w:tc>
          <w:tcPr>
            <w:tcW w:w="5966" w:type="dxa"/>
            <w:hideMark/>
          </w:tcPr>
          <w:p w:rsidR="00C95099" w:rsidRPr="00C95099" w:rsidRDefault="00C95099">
            <w:r w:rsidRPr="00C95099">
              <w:t>Construction</w:t>
            </w:r>
          </w:p>
        </w:tc>
        <w:tc>
          <w:tcPr>
            <w:tcW w:w="803" w:type="dxa"/>
            <w:noWrap/>
            <w:hideMark/>
          </w:tcPr>
          <w:p w:rsidR="00C95099" w:rsidRPr="00C95099" w:rsidRDefault="00C95099" w:rsidP="00C95099">
            <w:r w:rsidRPr="00C95099">
              <w:t>1.5</w:t>
            </w:r>
          </w:p>
        </w:tc>
        <w:tc>
          <w:tcPr>
            <w:tcW w:w="803" w:type="dxa"/>
            <w:noWrap/>
            <w:hideMark/>
          </w:tcPr>
          <w:p w:rsidR="00C95099" w:rsidRPr="00C95099" w:rsidRDefault="00C95099" w:rsidP="00C95099">
            <w:r w:rsidRPr="00C95099">
              <w:t>0.1</w:t>
            </w:r>
          </w:p>
        </w:tc>
        <w:tc>
          <w:tcPr>
            <w:tcW w:w="803" w:type="dxa"/>
            <w:noWrap/>
            <w:hideMark/>
          </w:tcPr>
          <w:p w:rsidR="00C95099" w:rsidRPr="00C95099" w:rsidRDefault="00C95099" w:rsidP="00C95099">
            <w:r w:rsidRPr="00C95099">
              <w:t>-7.3</w:t>
            </w:r>
          </w:p>
        </w:tc>
      </w:tr>
      <w:tr w:rsidR="00C95099" w:rsidRPr="00C95099" w:rsidTr="00C95099">
        <w:trPr>
          <w:trHeight w:val="288"/>
        </w:trPr>
        <w:tc>
          <w:tcPr>
            <w:tcW w:w="975" w:type="dxa"/>
            <w:noWrap/>
            <w:hideMark/>
          </w:tcPr>
          <w:p w:rsidR="00C95099" w:rsidRPr="00C95099" w:rsidRDefault="00C95099" w:rsidP="00C95099">
            <w:r w:rsidRPr="00C95099">
              <w:t>G</w:t>
            </w:r>
          </w:p>
        </w:tc>
        <w:tc>
          <w:tcPr>
            <w:tcW w:w="5966" w:type="dxa"/>
            <w:noWrap/>
            <w:hideMark/>
          </w:tcPr>
          <w:p w:rsidR="00C95099" w:rsidRPr="00C95099" w:rsidRDefault="00C95099">
            <w:r w:rsidRPr="00C95099">
              <w:t>Trade</w:t>
            </w:r>
          </w:p>
        </w:tc>
        <w:tc>
          <w:tcPr>
            <w:tcW w:w="803" w:type="dxa"/>
            <w:noWrap/>
            <w:hideMark/>
          </w:tcPr>
          <w:p w:rsidR="00C95099" w:rsidRPr="00C95099" w:rsidRDefault="00C95099" w:rsidP="00C95099">
            <w:r w:rsidRPr="00C95099">
              <w:t>-4.6</w:t>
            </w:r>
          </w:p>
        </w:tc>
        <w:tc>
          <w:tcPr>
            <w:tcW w:w="803" w:type="dxa"/>
            <w:noWrap/>
            <w:hideMark/>
          </w:tcPr>
          <w:p w:rsidR="00C95099" w:rsidRPr="00C95099" w:rsidRDefault="00C95099" w:rsidP="00C95099">
            <w:r w:rsidRPr="00C95099">
              <w:t>-4.6</w:t>
            </w:r>
          </w:p>
        </w:tc>
        <w:tc>
          <w:tcPr>
            <w:tcW w:w="803" w:type="dxa"/>
            <w:noWrap/>
            <w:hideMark/>
          </w:tcPr>
          <w:p w:rsidR="00C95099" w:rsidRPr="00C95099" w:rsidRDefault="00C95099" w:rsidP="00C95099">
            <w:r w:rsidRPr="00C95099">
              <w:t>-0.8</w:t>
            </w:r>
          </w:p>
        </w:tc>
      </w:tr>
      <w:tr w:rsidR="00C95099" w:rsidRPr="00C95099" w:rsidTr="00C95099">
        <w:trPr>
          <w:trHeight w:val="288"/>
        </w:trPr>
        <w:tc>
          <w:tcPr>
            <w:tcW w:w="975" w:type="dxa"/>
            <w:noWrap/>
            <w:hideMark/>
          </w:tcPr>
          <w:p w:rsidR="00C95099" w:rsidRPr="00C95099" w:rsidRDefault="00C95099" w:rsidP="00C95099">
            <w:r w:rsidRPr="00C95099">
              <w:t>H</w:t>
            </w:r>
          </w:p>
        </w:tc>
        <w:tc>
          <w:tcPr>
            <w:tcW w:w="5966" w:type="dxa"/>
            <w:noWrap/>
            <w:hideMark/>
          </w:tcPr>
          <w:p w:rsidR="00C95099" w:rsidRPr="00C95099" w:rsidRDefault="00C95099">
            <w:r w:rsidRPr="00C95099">
              <w:t>Hotels and restaurants</w:t>
            </w:r>
          </w:p>
        </w:tc>
        <w:tc>
          <w:tcPr>
            <w:tcW w:w="803" w:type="dxa"/>
            <w:noWrap/>
            <w:hideMark/>
          </w:tcPr>
          <w:p w:rsidR="00C95099" w:rsidRPr="00C95099" w:rsidRDefault="00C95099" w:rsidP="00C95099">
            <w:r w:rsidRPr="00C95099">
              <w:t>-4.3</w:t>
            </w:r>
          </w:p>
        </w:tc>
        <w:tc>
          <w:tcPr>
            <w:tcW w:w="803" w:type="dxa"/>
            <w:noWrap/>
            <w:hideMark/>
          </w:tcPr>
          <w:p w:rsidR="00C95099" w:rsidRPr="00C95099" w:rsidRDefault="00C95099" w:rsidP="00C95099">
            <w:r w:rsidRPr="00C95099">
              <w:t>-1.4</w:t>
            </w:r>
          </w:p>
        </w:tc>
        <w:tc>
          <w:tcPr>
            <w:tcW w:w="803" w:type="dxa"/>
            <w:noWrap/>
            <w:hideMark/>
          </w:tcPr>
          <w:p w:rsidR="00C95099" w:rsidRPr="00C95099" w:rsidRDefault="00C95099" w:rsidP="00C95099">
            <w:r w:rsidRPr="00C95099">
              <w:t>8.2</w:t>
            </w:r>
          </w:p>
        </w:tc>
      </w:tr>
      <w:tr w:rsidR="00C95099" w:rsidRPr="00C95099" w:rsidTr="00C95099">
        <w:trPr>
          <w:trHeight w:val="312"/>
        </w:trPr>
        <w:tc>
          <w:tcPr>
            <w:tcW w:w="975" w:type="dxa"/>
            <w:noWrap/>
            <w:hideMark/>
          </w:tcPr>
          <w:p w:rsidR="00C95099" w:rsidRPr="00C95099" w:rsidRDefault="00C95099" w:rsidP="00C95099">
            <w:r w:rsidRPr="00C95099">
              <w:t>I</w:t>
            </w:r>
          </w:p>
        </w:tc>
        <w:tc>
          <w:tcPr>
            <w:tcW w:w="5966" w:type="dxa"/>
            <w:hideMark/>
          </w:tcPr>
          <w:p w:rsidR="00C95099" w:rsidRPr="00C95099" w:rsidRDefault="00C95099">
            <w:r w:rsidRPr="00C95099">
              <w:t>Transport, storage and communications</w:t>
            </w:r>
          </w:p>
        </w:tc>
        <w:tc>
          <w:tcPr>
            <w:tcW w:w="803" w:type="dxa"/>
            <w:noWrap/>
            <w:hideMark/>
          </w:tcPr>
          <w:p w:rsidR="00C95099" w:rsidRPr="00C95099" w:rsidRDefault="00C95099" w:rsidP="00C95099">
            <w:r w:rsidRPr="00C95099">
              <w:t>-6.9</w:t>
            </w:r>
          </w:p>
        </w:tc>
        <w:tc>
          <w:tcPr>
            <w:tcW w:w="803" w:type="dxa"/>
            <w:noWrap/>
            <w:hideMark/>
          </w:tcPr>
          <w:p w:rsidR="00C95099" w:rsidRPr="00C95099" w:rsidRDefault="00C95099" w:rsidP="00C95099">
            <w:r w:rsidRPr="00C95099">
              <w:t>-2.6</w:t>
            </w:r>
          </w:p>
        </w:tc>
        <w:tc>
          <w:tcPr>
            <w:tcW w:w="803" w:type="dxa"/>
            <w:noWrap/>
            <w:hideMark/>
          </w:tcPr>
          <w:p w:rsidR="00C95099" w:rsidRPr="00C95099" w:rsidRDefault="00C95099" w:rsidP="00C95099">
            <w:r w:rsidRPr="00C95099">
              <w:t>-1.1</w:t>
            </w:r>
          </w:p>
        </w:tc>
      </w:tr>
      <w:tr w:rsidR="00C95099" w:rsidRPr="00C95099" w:rsidTr="00C95099">
        <w:trPr>
          <w:trHeight w:val="312"/>
        </w:trPr>
        <w:tc>
          <w:tcPr>
            <w:tcW w:w="975" w:type="dxa"/>
            <w:noWrap/>
            <w:hideMark/>
          </w:tcPr>
          <w:p w:rsidR="00C95099" w:rsidRPr="00C95099" w:rsidRDefault="00C95099" w:rsidP="00C95099">
            <w:r w:rsidRPr="00C95099">
              <w:t>K</w:t>
            </w:r>
          </w:p>
        </w:tc>
        <w:tc>
          <w:tcPr>
            <w:tcW w:w="5966" w:type="dxa"/>
            <w:hideMark/>
          </w:tcPr>
          <w:p w:rsidR="00C95099" w:rsidRPr="00C95099" w:rsidRDefault="00C95099">
            <w:r w:rsidRPr="00C95099">
              <w:t>Real estate, renting and business activities</w:t>
            </w:r>
          </w:p>
        </w:tc>
        <w:tc>
          <w:tcPr>
            <w:tcW w:w="803" w:type="dxa"/>
            <w:noWrap/>
            <w:hideMark/>
          </w:tcPr>
          <w:p w:rsidR="00C95099" w:rsidRPr="00C95099" w:rsidRDefault="00C95099" w:rsidP="00C95099">
            <w:r w:rsidRPr="00C95099">
              <w:t>0.1</w:t>
            </w:r>
          </w:p>
        </w:tc>
        <w:tc>
          <w:tcPr>
            <w:tcW w:w="803" w:type="dxa"/>
            <w:noWrap/>
            <w:hideMark/>
          </w:tcPr>
          <w:p w:rsidR="00C95099" w:rsidRPr="00C95099" w:rsidRDefault="00C95099" w:rsidP="00C95099">
            <w:r w:rsidRPr="00C95099">
              <w:t>-5.4</w:t>
            </w:r>
          </w:p>
        </w:tc>
        <w:tc>
          <w:tcPr>
            <w:tcW w:w="803" w:type="dxa"/>
            <w:noWrap/>
            <w:hideMark/>
          </w:tcPr>
          <w:p w:rsidR="00C95099" w:rsidRPr="00C95099" w:rsidRDefault="00C95099" w:rsidP="00C95099">
            <w:r w:rsidRPr="00C95099">
              <w:t>1.6</w:t>
            </w:r>
          </w:p>
        </w:tc>
      </w:tr>
      <w:tr w:rsidR="00C95099" w:rsidRPr="00C95099" w:rsidTr="00C95099">
        <w:trPr>
          <w:trHeight w:val="312"/>
        </w:trPr>
        <w:tc>
          <w:tcPr>
            <w:tcW w:w="975" w:type="dxa"/>
            <w:noWrap/>
            <w:hideMark/>
          </w:tcPr>
          <w:p w:rsidR="00C95099" w:rsidRPr="00C95099" w:rsidRDefault="00C95099" w:rsidP="00C95099">
            <w:r w:rsidRPr="00C95099">
              <w:t>M</w:t>
            </w:r>
          </w:p>
        </w:tc>
        <w:tc>
          <w:tcPr>
            <w:tcW w:w="5966" w:type="dxa"/>
            <w:hideMark/>
          </w:tcPr>
          <w:p w:rsidR="00C95099" w:rsidRPr="00C95099" w:rsidRDefault="00C95099">
            <w:r w:rsidRPr="00C95099">
              <w:t>Education private</w:t>
            </w:r>
          </w:p>
        </w:tc>
        <w:tc>
          <w:tcPr>
            <w:tcW w:w="803" w:type="dxa"/>
            <w:noWrap/>
            <w:hideMark/>
          </w:tcPr>
          <w:p w:rsidR="00C95099" w:rsidRPr="00C95099" w:rsidRDefault="00C95099" w:rsidP="00C95099">
            <w:r w:rsidRPr="00C95099">
              <w:t>-6.0</w:t>
            </w:r>
          </w:p>
        </w:tc>
        <w:tc>
          <w:tcPr>
            <w:tcW w:w="803" w:type="dxa"/>
            <w:noWrap/>
            <w:hideMark/>
          </w:tcPr>
          <w:p w:rsidR="00C95099" w:rsidRPr="00C95099" w:rsidRDefault="00C95099" w:rsidP="00C95099">
            <w:r w:rsidRPr="00C95099">
              <w:t>-1.5</w:t>
            </w:r>
          </w:p>
        </w:tc>
        <w:tc>
          <w:tcPr>
            <w:tcW w:w="803" w:type="dxa"/>
            <w:noWrap/>
            <w:hideMark/>
          </w:tcPr>
          <w:p w:rsidR="00C95099" w:rsidRPr="00C95099" w:rsidRDefault="00C95099" w:rsidP="00C95099">
            <w:r w:rsidRPr="00C95099">
              <w:t>4.5</w:t>
            </w:r>
          </w:p>
        </w:tc>
      </w:tr>
      <w:tr w:rsidR="00C95099" w:rsidRPr="00C95099" w:rsidTr="00C95099">
        <w:trPr>
          <w:trHeight w:val="312"/>
        </w:trPr>
        <w:tc>
          <w:tcPr>
            <w:tcW w:w="975" w:type="dxa"/>
            <w:noWrap/>
            <w:hideMark/>
          </w:tcPr>
          <w:p w:rsidR="00C95099" w:rsidRPr="00C95099" w:rsidRDefault="00C95099" w:rsidP="00C95099">
            <w:r w:rsidRPr="00C95099">
              <w:t>N</w:t>
            </w:r>
          </w:p>
        </w:tc>
        <w:tc>
          <w:tcPr>
            <w:tcW w:w="5966" w:type="dxa"/>
            <w:noWrap/>
            <w:hideMark/>
          </w:tcPr>
          <w:p w:rsidR="00C95099" w:rsidRPr="00C95099" w:rsidRDefault="00C95099">
            <w:r w:rsidRPr="00C95099">
              <w:t>Health and social work</w:t>
            </w:r>
          </w:p>
        </w:tc>
        <w:tc>
          <w:tcPr>
            <w:tcW w:w="803" w:type="dxa"/>
            <w:noWrap/>
            <w:hideMark/>
          </w:tcPr>
          <w:p w:rsidR="00C95099" w:rsidRPr="00C95099" w:rsidRDefault="00C95099" w:rsidP="00C95099">
            <w:r w:rsidRPr="00C95099">
              <w:t>0.2</w:t>
            </w:r>
          </w:p>
        </w:tc>
        <w:tc>
          <w:tcPr>
            <w:tcW w:w="803" w:type="dxa"/>
            <w:noWrap/>
            <w:hideMark/>
          </w:tcPr>
          <w:p w:rsidR="00C95099" w:rsidRPr="00C95099" w:rsidRDefault="00C95099" w:rsidP="00C95099">
            <w:r w:rsidRPr="00C95099">
              <w:t>-0.8</w:t>
            </w:r>
          </w:p>
        </w:tc>
        <w:tc>
          <w:tcPr>
            <w:tcW w:w="803" w:type="dxa"/>
            <w:noWrap/>
            <w:hideMark/>
          </w:tcPr>
          <w:p w:rsidR="00C95099" w:rsidRPr="00C95099" w:rsidRDefault="00C95099" w:rsidP="00C95099">
            <w:r w:rsidRPr="00C95099">
              <w:t>0.7</w:t>
            </w:r>
          </w:p>
        </w:tc>
      </w:tr>
      <w:tr w:rsidR="00C95099" w:rsidRPr="00C95099" w:rsidTr="00C95099">
        <w:trPr>
          <w:trHeight w:val="300"/>
        </w:trPr>
        <w:tc>
          <w:tcPr>
            <w:tcW w:w="975" w:type="dxa"/>
            <w:noWrap/>
            <w:hideMark/>
          </w:tcPr>
          <w:p w:rsidR="00C95099" w:rsidRPr="00C95099" w:rsidRDefault="00C95099" w:rsidP="00C95099">
            <w:r w:rsidRPr="00C95099">
              <w:t>O</w:t>
            </w:r>
          </w:p>
        </w:tc>
        <w:tc>
          <w:tcPr>
            <w:tcW w:w="5966" w:type="dxa"/>
            <w:hideMark/>
          </w:tcPr>
          <w:p w:rsidR="00C95099" w:rsidRPr="00C95099" w:rsidRDefault="00C95099">
            <w:r w:rsidRPr="00C95099">
              <w:t>Other community, social and personal service activities</w:t>
            </w:r>
          </w:p>
        </w:tc>
        <w:tc>
          <w:tcPr>
            <w:tcW w:w="803" w:type="dxa"/>
            <w:noWrap/>
            <w:hideMark/>
          </w:tcPr>
          <w:p w:rsidR="00C95099" w:rsidRPr="00C95099" w:rsidRDefault="00C95099" w:rsidP="00C95099">
            <w:r w:rsidRPr="00C95099">
              <w:t>-3.7</w:t>
            </w:r>
          </w:p>
        </w:tc>
        <w:tc>
          <w:tcPr>
            <w:tcW w:w="803" w:type="dxa"/>
            <w:noWrap/>
            <w:hideMark/>
          </w:tcPr>
          <w:p w:rsidR="00C95099" w:rsidRPr="00C95099" w:rsidRDefault="00C95099" w:rsidP="00C95099">
            <w:r w:rsidRPr="00C95099">
              <w:t>-5.5</w:t>
            </w:r>
          </w:p>
        </w:tc>
        <w:tc>
          <w:tcPr>
            <w:tcW w:w="803" w:type="dxa"/>
            <w:noWrap/>
            <w:hideMark/>
          </w:tcPr>
          <w:p w:rsidR="00C95099" w:rsidRPr="00C95099" w:rsidRDefault="00C95099" w:rsidP="00C95099">
            <w:r w:rsidRPr="00C95099">
              <w:t>-9.9</w:t>
            </w:r>
          </w:p>
        </w:tc>
      </w:tr>
      <w:tr w:rsidR="00C95099" w:rsidRPr="00C95099" w:rsidTr="00C95099">
        <w:trPr>
          <w:trHeight w:val="288"/>
        </w:trPr>
        <w:tc>
          <w:tcPr>
            <w:tcW w:w="975" w:type="dxa"/>
            <w:noWrap/>
            <w:hideMark/>
          </w:tcPr>
          <w:p w:rsidR="00C95099" w:rsidRPr="00C95099" w:rsidRDefault="00C95099" w:rsidP="00C95099"/>
        </w:tc>
        <w:tc>
          <w:tcPr>
            <w:tcW w:w="5966" w:type="dxa"/>
            <w:noWrap/>
            <w:hideMark/>
          </w:tcPr>
          <w:p w:rsidR="00C95099" w:rsidRPr="00C95099" w:rsidRDefault="00C95099">
            <w:pPr>
              <w:rPr>
                <w:b/>
                <w:bCs/>
              </w:rPr>
            </w:pPr>
            <w:r w:rsidRPr="00C95099">
              <w:rPr>
                <w:b/>
                <w:bCs/>
              </w:rPr>
              <w:t>Value added, gross, marketprices</w:t>
            </w:r>
          </w:p>
        </w:tc>
        <w:tc>
          <w:tcPr>
            <w:tcW w:w="803" w:type="dxa"/>
            <w:noWrap/>
            <w:hideMark/>
          </w:tcPr>
          <w:p w:rsidR="00C95099" w:rsidRPr="00C95099" w:rsidRDefault="00C95099" w:rsidP="00C95099">
            <w:r w:rsidRPr="00C95099">
              <w:t>-3.3</w:t>
            </w:r>
          </w:p>
        </w:tc>
        <w:tc>
          <w:tcPr>
            <w:tcW w:w="803" w:type="dxa"/>
            <w:noWrap/>
            <w:hideMark/>
          </w:tcPr>
          <w:p w:rsidR="00C95099" w:rsidRPr="00C95099" w:rsidRDefault="00C95099" w:rsidP="00C95099">
            <w:r w:rsidRPr="00C95099">
              <w:t>-2.9</w:t>
            </w:r>
          </w:p>
        </w:tc>
        <w:tc>
          <w:tcPr>
            <w:tcW w:w="803" w:type="dxa"/>
            <w:noWrap/>
            <w:hideMark/>
          </w:tcPr>
          <w:p w:rsidR="00C95099" w:rsidRPr="00C95099" w:rsidRDefault="00C95099" w:rsidP="00C95099">
            <w:r w:rsidRPr="00C95099">
              <w:t>-3.3</w:t>
            </w:r>
          </w:p>
        </w:tc>
      </w:tr>
      <w:tr w:rsidR="00C95099" w:rsidRPr="00C95099" w:rsidTr="00C95099">
        <w:trPr>
          <w:trHeight w:val="288"/>
        </w:trPr>
        <w:tc>
          <w:tcPr>
            <w:tcW w:w="975" w:type="dxa"/>
            <w:noWrap/>
            <w:hideMark/>
          </w:tcPr>
          <w:p w:rsidR="00C95099" w:rsidRPr="00C95099" w:rsidRDefault="00C95099" w:rsidP="00C95099"/>
        </w:tc>
        <w:tc>
          <w:tcPr>
            <w:tcW w:w="5966" w:type="dxa"/>
            <w:noWrap/>
            <w:hideMark/>
          </w:tcPr>
          <w:p w:rsidR="00C95099" w:rsidRPr="00C95099" w:rsidRDefault="00C95099" w:rsidP="00C95099"/>
        </w:tc>
        <w:tc>
          <w:tcPr>
            <w:tcW w:w="803" w:type="dxa"/>
            <w:noWrap/>
            <w:hideMark/>
          </w:tcPr>
          <w:p w:rsidR="00C95099" w:rsidRPr="00C95099" w:rsidRDefault="00C95099"/>
        </w:tc>
        <w:tc>
          <w:tcPr>
            <w:tcW w:w="803" w:type="dxa"/>
            <w:noWrap/>
            <w:hideMark/>
          </w:tcPr>
          <w:p w:rsidR="00C95099" w:rsidRPr="00C95099" w:rsidRDefault="00C95099"/>
        </w:tc>
        <w:tc>
          <w:tcPr>
            <w:tcW w:w="803" w:type="dxa"/>
            <w:noWrap/>
            <w:hideMark/>
          </w:tcPr>
          <w:p w:rsidR="00C95099" w:rsidRPr="00C95099" w:rsidRDefault="00C95099"/>
        </w:tc>
      </w:tr>
      <w:tr w:rsidR="00C95099" w:rsidRPr="00C95099" w:rsidTr="00C95099">
        <w:trPr>
          <w:trHeight w:val="288"/>
        </w:trPr>
        <w:tc>
          <w:tcPr>
            <w:tcW w:w="975" w:type="dxa"/>
            <w:noWrap/>
            <w:hideMark/>
          </w:tcPr>
          <w:p w:rsidR="00C95099" w:rsidRPr="00C95099" w:rsidRDefault="00C95099"/>
        </w:tc>
        <w:tc>
          <w:tcPr>
            <w:tcW w:w="5966" w:type="dxa"/>
            <w:noWrap/>
            <w:hideMark/>
          </w:tcPr>
          <w:p w:rsidR="00C95099" w:rsidRPr="00C95099" w:rsidRDefault="00C95099">
            <w:pPr>
              <w:rPr>
                <w:b/>
                <w:bCs/>
              </w:rPr>
            </w:pPr>
            <w:r w:rsidRPr="00C95099">
              <w:rPr>
                <w:b/>
                <w:bCs/>
              </w:rPr>
              <w:t>Financial corporations</w:t>
            </w:r>
          </w:p>
        </w:tc>
        <w:tc>
          <w:tcPr>
            <w:tcW w:w="803" w:type="dxa"/>
            <w:noWrap/>
            <w:hideMark/>
          </w:tcPr>
          <w:p w:rsidR="00C95099" w:rsidRPr="00C95099" w:rsidRDefault="00C95099">
            <w:pPr>
              <w:rPr>
                <w:b/>
                <w:bCs/>
              </w:rPr>
            </w:pPr>
          </w:p>
        </w:tc>
        <w:tc>
          <w:tcPr>
            <w:tcW w:w="803" w:type="dxa"/>
            <w:noWrap/>
            <w:hideMark/>
          </w:tcPr>
          <w:p w:rsidR="00C95099" w:rsidRPr="00C95099" w:rsidRDefault="00C95099"/>
        </w:tc>
        <w:tc>
          <w:tcPr>
            <w:tcW w:w="803" w:type="dxa"/>
            <w:noWrap/>
            <w:hideMark/>
          </w:tcPr>
          <w:p w:rsidR="00C95099" w:rsidRPr="00C95099" w:rsidRDefault="00C95099"/>
        </w:tc>
      </w:tr>
      <w:tr w:rsidR="00C95099" w:rsidRPr="00C95099" w:rsidTr="00C95099">
        <w:trPr>
          <w:trHeight w:val="300"/>
        </w:trPr>
        <w:tc>
          <w:tcPr>
            <w:tcW w:w="975" w:type="dxa"/>
            <w:noWrap/>
            <w:hideMark/>
          </w:tcPr>
          <w:p w:rsidR="00C95099" w:rsidRPr="00C95099" w:rsidRDefault="00C95099" w:rsidP="00C95099">
            <w:r w:rsidRPr="00C95099">
              <w:t>J    </w:t>
            </w:r>
          </w:p>
        </w:tc>
        <w:tc>
          <w:tcPr>
            <w:tcW w:w="5966" w:type="dxa"/>
            <w:hideMark/>
          </w:tcPr>
          <w:p w:rsidR="00C95099" w:rsidRPr="00C95099" w:rsidRDefault="00C95099">
            <w:r w:rsidRPr="00C95099">
              <w:t>Financial intermediation</w:t>
            </w:r>
          </w:p>
        </w:tc>
        <w:tc>
          <w:tcPr>
            <w:tcW w:w="803" w:type="dxa"/>
            <w:noWrap/>
            <w:hideMark/>
          </w:tcPr>
          <w:p w:rsidR="00C95099" w:rsidRPr="00C95099" w:rsidRDefault="00C95099" w:rsidP="00C95099">
            <w:r w:rsidRPr="00C95099">
              <w:t>2.0</w:t>
            </w:r>
          </w:p>
        </w:tc>
        <w:tc>
          <w:tcPr>
            <w:tcW w:w="803" w:type="dxa"/>
            <w:noWrap/>
            <w:hideMark/>
          </w:tcPr>
          <w:p w:rsidR="00C95099" w:rsidRPr="00C95099" w:rsidRDefault="00C95099" w:rsidP="00C95099">
            <w:r w:rsidRPr="00C95099">
              <w:t>-2.6</w:t>
            </w:r>
          </w:p>
        </w:tc>
        <w:tc>
          <w:tcPr>
            <w:tcW w:w="803" w:type="dxa"/>
            <w:noWrap/>
            <w:hideMark/>
          </w:tcPr>
          <w:p w:rsidR="00C95099" w:rsidRPr="00C95099" w:rsidRDefault="00C95099" w:rsidP="00C95099">
            <w:r w:rsidRPr="00C95099">
              <w:t>0.9</w:t>
            </w:r>
          </w:p>
        </w:tc>
      </w:tr>
      <w:tr w:rsidR="00C95099" w:rsidRPr="00C95099" w:rsidTr="00C95099">
        <w:trPr>
          <w:trHeight w:val="288"/>
        </w:trPr>
        <w:tc>
          <w:tcPr>
            <w:tcW w:w="975" w:type="dxa"/>
            <w:noWrap/>
            <w:hideMark/>
          </w:tcPr>
          <w:p w:rsidR="00C95099" w:rsidRPr="00C95099" w:rsidRDefault="00C95099" w:rsidP="00C95099"/>
        </w:tc>
        <w:tc>
          <w:tcPr>
            <w:tcW w:w="5966" w:type="dxa"/>
            <w:noWrap/>
            <w:hideMark/>
          </w:tcPr>
          <w:p w:rsidR="00C95099" w:rsidRPr="00C95099" w:rsidRDefault="00C95099">
            <w:pPr>
              <w:rPr>
                <w:b/>
                <w:bCs/>
              </w:rPr>
            </w:pPr>
            <w:r w:rsidRPr="00C95099">
              <w:rPr>
                <w:b/>
                <w:bCs/>
              </w:rPr>
              <w:t>Value added, gross, marketprices</w:t>
            </w:r>
          </w:p>
        </w:tc>
        <w:tc>
          <w:tcPr>
            <w:tcW w:w="803" w:type="dxa"/>
            <w:noWrap/>
            <w:hideMark/>
          </w:tcPr>
          <w:p w:rsidR="00C95099" w:rsidRPr="00C95099" w:rsidRDefault="00C95099" w:rsidP="00C95099">
            <w:r w:rsidRPr="00C95099">
              <w:t>2.0</w:t>
            </w:r>
          </w:p>
        </w:tc>
        <w:tc>
          <w:tcPr>
            <w:tcW w:w="803" w:type="dxa"/>
            <w:noWrap/>
            <w:hideMark/>
          </w:tcPr>
          <w:p w:rsidR="00C95099" w:rsidRPr="00C95099" w:rsidRDefault="00C95099" w:rsidP="00C95099">
            <w:r w:rsidRPr="00C95099">
              <w:t>-2.6</w:t>
            </w:r>
          </w:p>
        </w:tc>
        <w:tc>
          <w:tcPr>
            <w:tcW w:w="803" w:type="dxa"/>
            <w:noWrap/>
            <w:hideMark/>
          </w:tcPr>
          <w:p w:rsidR="00C95099" w:rsidRPr="00C95099" w:rsidRDefault="00C95099" w:rsidP="00C95099">
            <w:r w:rsidRPr="00C95099">
              <w:t>0.9</w:t>
            </w:r>
          </w:p>
        </w:tc>
      </w:tr>
      <w:tr w:rsidR="00C95099" w:rsidRPr="00C95099" w:rsidTr="00C95099">
        <w:trPr>
          <w:trHeight w:val="288"/>
        </w:trPr>
        <w:tc>
          <w:tcPr>
            <w:tcW w:w="975" w:type="dxa"/>
            <w:noWrap/>
            <w:hideMark/>
          </w:tcPr>
          <w:p w:rsidR="00C95099" w:rsidRPr="00C95099" w:rsidRDefault="00C95099" w:rsidP="00C95099"/>
        </w:tc>
        <w:tc>
          <w:tcPr>
            <w:tcW w:w="5966" w:type="dxa"/>
            <w:noWrap/>
            <w:hideMark/>
          </w:tcPr>
          <w:p w:rsidR="00C95099" w:rsidRPr="00C95099" w:rsidRDefault="00C95099" w:rsidP="00C95099"/>
        </w:tc>
        <w:tc>
          <w:tcPr>
            <w:tcW w:w="803" w:type="dxa"/>
            <w:noWrap/>
            <w:hideMark/>
          </w:tcPr>
          <w:p w:rsidR="00C95099" w:rsidRPr="00C95099" w:rsidRDefault="00C95099"/>
        </w:tc>
        <w:tc>
          <w:tcPr>
            <w:tcW w:w="803" w:type="dxa"/>
            <w:noWrap/>
            <w:hideMark/>
          </w:tcPr>
          <w:p w:rsidR="00C95099" w:rsidRPr="00C95099" w:rsidRDefault="00C95099"/>
        </w:tc>
        <w:tc>
          <w:tcPr>
            <w:tcW w:w="803" w:type="dxa"/>
            <w:noWrap/>
            <w:hideMark/>
          </w:tcPr>
          <w:p w:rsidR="00C95099" w:rsidRPr="00C95099" w:rsidRDefault="00C95099"/>
        </w:tc>
      </w:tr>
      <w:tr w:rsidR="00C95099" w:rsidRPr="00C95099" w:rsidTr="00C95099">
        <w:trPr>
          <w:trHeight w:val="288"/>
        </w:trPr>
        <w:tc>
          <w:tcPr>
            <w:tcW w:w="975" w:type="dxa"/>
            <w:noWrap/>
            <w:hideMark/>
          </w:tcPr>
          <w:p w:rsidR="00C95099" w:rsidRPr="00C95099" w:rsidRDefault="00C95099" w:rsidP="00C95099">
            <w:r w:rsidRPr="00C95099">
              <w:t>L</w:t>
            </w:r>
          </w:p>
        </w:tc>
        <w:tc>
          <w:tcPr>
            <w:tcW w:w="5966" w:type="dxa"/>
            <w:noWrap/>
            <w:hideMark/>
          </w:tcPr>
          <w:p w:rsidR="00C95099" w:rsidRPr="00C95099" w:rsidRDefault="00C95099">
            <w:pPr>
              <w:rPr>
                <w:b/>
                <w:bCs/>
              </w:rPr>
            </w:pPr>
            <w:r w:rsidRPr="00C95099">
              <w:rPr>
                <w:b/>
                <w:bCs/>
              </w:rPr>
              <w:t>Government</w:t>
            </w:r>
          </w:p>
        </w:tc>
        <w:tc>
          <w:tcPr>
            <w:tcW w:w="803" w:type="dxa"/>
            <w:noWrap/>
            <w:hideMark/>
          </w:tcPr>
          <w:p w:rsidR="00C95099" w:rsidRPr="00C95099" w:rsidRDefault="00C95099" w:rsidP="00C95099">
            <w:r w:rsidRPr="00C95099">
              <w:t>0.8</w:t>
            </w:r>
          </w:p>
        </w:tc>
        <w:tc>
          <w:tcPr>
            <w:tcW w:w="803" w:type="dxa"/>
            <w:noWrap/>
            <w:hideMark/>
          </w:tcPr>
          <w:p w:rsidR="00C95099" w:rsidRPr="00C95099" w:rsidRDefault="00C95099" w:rsidP="00C95099">
            <w:r w:rsidRPr="00C95099">
              <w:t>1.1</w:t>
            </w:r>
          </w:p>
        </w:tc>
        <w:tc>
          <w:tcPr>
            <w:tcW w:w="803" w:type="dxa"/>
            <w:noWrap/>
            <w:hideMark/>
          </w:tcPr>
          <w:p w:rsidR="00C95099" w:rsidRPr="00C95099" w:rsidRDefault="00C95099" w:rsidP="00C95099">
            <w:r w:rsidRPr="00C95099">
              <w:t>-0.4</w:t>
            </w:r>
          </w:p>
        </w:tc>
      </w:tr>
      <w:tr w:rsidR="00C95099" w:rsidRPr="00C95099" w:rsidTr="00C95099">
        <w:trPr>
          <w:trHeight w:val="288"/>
        </w:trPr>
        <w:tc>
          <w:tcPr>
            <w:tcW w:w="975" w:type="dxa"/>
            <w:noWrap/>
            <w:hideMark/>
          </w:tcPr>
          <w:p w:rsidR="00C95099" w:rsidRPr="00C95099" w:rsidRDefault="00C95099" w:rsidP="00C95099"/>
        </w:tc>
        <w:tc>
          <w:tcPr>
            <w:tcW w:w="5966" w:type="dxa"/>
            <w:noWrap/>
            <w:hideMark/>
          </w:tcPr>
          <w:p w:rsidR="00C95099" w:rsidRPr="00C95099" w:rsidRDefault="00C95099" w:rsidP="00C95099"/>
        </w:tc>
        <w:tc>
          <w:tcPr>
            <w:tcW w:w="803" w:type="dxa"/>
            <w:noWrap/>
            <w:hideMark/>
          </w:tcPr>
          <w:p w:rsidR="00C95099" w:rsidRPr="00C95099" w:rsidRDefault="00C95099"/>
        </w:tc>
        <w:tc>
          <w:tcPr>
            <w:tcW w:w="803" w:type="dxa"/>
            <w:noWrap/>
            <w:hideMark/>
          </w:tcPr>
          <w:p w:rsidR="00C95099" w:rsidRPr="00C95099" w:rsidRDefault="00C95099"/>
        </w:tc>
        <w:tc>
          <w:tcPr>
            <w:tcW w:w="803" w:type="dxa"/>
            <w:noWrap/>
            <w:hideMark/>
          </w:tcPr>
          <w:p w:rsidR="00C95099" w:rsidRPr="00C95099" w:rsidRDefault="00C95099"/>
        </w:tc>
      </w:tr>
      <w:tr w:rsidR="00C95099" w:rsidRPr="00C95099" w:rsidTr="00C95099">
        <w:trPr>
          <w:trHeight w:val="288"/>
        </w:trPr>
        <w:tc>
          <w:tcPr>
            <w:tcW w:w="975" w:type="dxa"/>
            <w:noWrap/>
            <w:hideMark/>
          </w:tcPr>
          <w:p w:rsidR="00C95099" w:rsidRPr="00C95099" w:rsidRDefault="00C95099"/>
        </w:tc>
        <w:tc>
          <w:tcPr>
            <w:tcW w:w="5966" w:type="dxa"/>
            <w:noWrap/>
            <w:hideMark/>
          </w:tcPr>
          <w:p w:rsidR="00C95099" w:rsidRPr="00C95099" w:rsidRDefault="00C95099">
            <w:pPr>
              <w:rPr>
                <w:b/>
                <w:bCs/>
              </w:rPr>
            </w:pPr>
            <w:r w:rsidRPr="00C95099">
              <w:rPr>
                <w:b/>
                <w:bCs/>
              </w:rPr>
              <w:t>Households &amp; Non-profit institutions serving households</w:t>
            </w:r>
          </w:p>
        </w:tc>
        <w:tc>
          <w:tcPr>
            <w:tcW w:w="803" w:type="dxa"/>
            <w:noWrap/>
            <w:hideMark/>
          </w:tcPr>
          <w:p w:rsidR="00C95099" w:rsidRPr="00C95099" w:rsidRDefault="00C95099" w:rsidP="00C95099">
            <w:r w:rsidRPr="00C95099">
              <w:t>0.0</w:t>
            </w:r>
          </w:p>
        </w:tc>
        <w:tc>
          <w:tcPr>
            <w:tcW w:w="803" w:type="dxa"/>
            <w:noWrap/>
            <w:hideMark/>
          </w:tcPr>
          <w:p w:rsidR="00C95099" w:rsidRPr="00C95099" w:rsidRDefault="00C95099" w:rsidP="00C95099">
            <w:r w:rsidRPr="00C95099">
              <w:t>-1.4</w:t>
            </w:r>
          </w:p>
        </w:tc>
        <w:tc>
          <w:tcPr>
            <w:tcW w:w="803" w:type="dxa"/>
            <w:noWrap/>
            <w:hideMark/>
          </w:tcPr>
          <w:p w:rsidR="00C95099" w:rsidRPr="00C95099" w:rsidRDefault="00C95099" w:rsidP="00C95099">
            <w:r w:rsidRPr="00C95099">
              <w:t>0.4</w:t>
            </w:r>
          </w:p>
        </w:tc>
      </w:tr>
      <w:tr w:rsidR="00C95099" w:rsidRPr="00C95099" w:rsidTr="00C95099">
        <w:trPr>
          <w:trHeight w:val="288"/>
        </w:trPr>
        <w:tc>
          <w:tcPr>
            <w:tcW w:w="975" w:type="dxa"/>
            <w:noWrap/>
            <w:hideMark/>
          </w:tcPr>
          <w:p w:rsidR="00C95099" w:rsidRPr="00C95099" w:rsidRDefault="00C95099" w:rsidP="00C95099"/>
        </w:tc>
        <w:tc>
          <w:tcPr>
            <w:tcW w:w="5966" w:type="dxa"/>
            <w:noWrap/>
            <w:hideMark/>
          </w:tcPr>
          <w:p w:rsidR="00C95099" w:rsidRPr="00C95099" w:rsidRDefault="00C95099"/>
        </w:tc>
        <w:tc>
          <w:tcPr>
            <w:tcW w:w="803" w:type="dxa"/>
            <w:noWrap/>
            <w:hideMark/>
          </w:tcPr>
          <w:p w:rsidR="00C95099" w:rsidRPr="00C95099" w:rsidRDefault="00C95099"/>
        </w:tc>
        <w:tc>
          <w:tcPr>
            <w:tcW w:w="803" w:type="dxa"/>
            <w:noWrap/>
            <w:hideMark/>
          </w:tcPr>
          <w:p w:rsidR="00C95099" w:rsidRPr="00C95099" w:rsidRDefault="00C95099"/>
        </w:tc>
        <w:tc>
          <w:tcPr>
            <w:tcW w:w="803" w:type="dxa"/>
            <w:noWrap/>
            <w:hideMark/>
          </w:tcPr>
          <w:p w:rsidR="00C95099" w:rsidRPr="00C95099" w:rsidRDefault="00C95099"/>
        </w:tc>
      </w:tr>
      <w:tr w:rsidR="00C95099" w:rsidRPr="00C95099" w:rsidTr="00C95099">
        <w:trPr>
          <w:trHeight w:val="288"/>
        </w:trPr>
        <w:tc>
          <w:tcPr>
            <w:tcW w:w="975" w:type="dxa"/>
            <w:noWrap/>
            <w:hideMark/>
          </w:tcPr>
          <w:p w:rsidR="00C95099" w:rsidRPr="00C95099" w:rsidRDefault="00C95099"/>
        </w:tc>
        <w:tc>
          <w:tcPr>
            <w:tcW w:w="5966" w:type="dxa"/>
            <w:noWrap/>
            <w:hideMark/>
          </w:tcPr>
          <w:p w:rsidR="00C95099" w:rsidRPr="00C95099" w:rsidRDefault="00C95099">
            <w:pPr>
              <w:rPr>
                <w:b/>
                <w:bCs/>
              </w:rPr>
            </w:pPr>
            <w:r w:rsidRPr="00C95099">
              <w:rPr>
                <w:b/>
                <w:bCs/>
              </w:rPr>
              <w:t>Total Value Added gross, market prices</w:t>
            </w:r>
          </w:p>
        </w:tc>
        <w:tc>
          <w:tcPr>
            <w:tcW w:w="803" w:type="dxa"/>
            <w:noWrap/>
            <w:hideMark/>
          </w:tcPr>
          <w:p w:rsidR="00C95099" w:rsidRPr="00C95099" w:rsidRDefault="00C95099" w:rsidP="00C95099">
            <w:r w:rsidRPr="00C95099">
              <w:t>-1.8</w:t>
            </w:r>
          </w:p>
        </w:tc>
        <w:tc>
          <w:tcPr>
            <w:tcW w:w="803" w:type="dxa"/>
            <w:noWrap/>
            <w:hideMark/>
          </w:tcPr>
          <w:p w:rsidR="00C95099" w:rsidRPr="00C95099" w:rsidRDefault="00C95099" w:rsidP="00C95099">
            <w:r w:rsidRPr="00C95099">
              <w:t>-2.0</w:t>
            </w:r>
          </w:p>
        </w:tc>
        <w:tc>
          <w:tcPr>
            <w:tcW w:w="803" w:type="dxa"/>
            <w:noWrap/>
            <w:hideMark/>
          </w:tcPr>
          <w:p w:rsidR="00C95099" w:rsidRPr="00C95099" w:rsidRDefault="00C95099" w:rsidP="00C95099">
            <w:r w:rsidRPr="00C95099">
              <w:t>-1.9</w:t>
            </w:r>
          </w:p>
        </w:tc>
      </w:tr>
      <w:tr w:rsidR="00C95099" w:rsidRPr="00C95099" w:rsidTr="00C95099">
        <w:trPr>
          <w:trHeight w:val="288"/>
        </w:trPr>
        <w:tc>
          <w:tcPr>
            <w:tcW w:w="975" w:type="dxa"/>
            <w:noWrap/>
            <w:hideMark/>
          </w:tcPr>
          <w:p w:rsidR="00C95099" w:rsidRPr="00C95099" w:rsidRDefault="00C95099" w:rsidP="00C95099"/>
        </w:tc>
        <w:tc>
          <w:tcPr>
            <w:tcW w:w="5966" w:type="dxa"/>
            <w:noWrap/>
            <w:hideMark/>
          </w:tcPr>
          <w:p w:rsidR="00C95099" w:rsidRPr="00C95099" w:rsidRDefault="00C95099">
            <w:r w:rsidRPr="00C95099">
              <w:t>  plus Taxes less subsidies on products</w:t>
            </w:r>
          </w:p>
        </w:tc>
        <w:tc>
          <w:tcPr>
            <w:tcW w:w="803" w:type="dxa"/>
            <w:noWrap/>
            <w:hideMark/>
          </w:tcPr>
          <w:p w:rsidR="00C95099" w:rsidRPr="00C95099" w:rsidRDefault="00C95099" w:rsidP="00C95099">
            <w:r w:rsidRPr="00C95099">
              <w:t>2.5</w:t>
            </w:r>
          </w:p>
        </w:tc>
        <w:tc>
          <w:tcPr>
            <w:tcW w:w="803" w:type="dxa"/>
            <w:noWrap/>
            <w:hideMark/>
          </w:tcPr>
          <w:p w:rsidR="00C95099" w:rsidRPr="00C95099" w:rsidRDefault="00C95099" w:rsidP="00C95099">
            <w:r w:rsidRPr="00C95099">
              <w:t>-0.1</w:t>
            </w:r>
          </w:p>
        </w:tc>
        <w:tc>
          <w:tcPr>
            <w:tcW w:w="803" w:type="dxa"/>
            <w:noWrap/>
            <w:hideMark/>
          </w:tcPr>
          <w:p w:rsidR="00C95099" w:rsidRPr="00C95099" w:rsidRDefault="00C95099" w:rsidP="00C95099">
            <w:r w:rsidRPr="00C95099">
              <w:t>-4.4</w:t>
            </w:r>
          </w:p>
        </w:tc>
      </w:tr>
      <w:tr w:rsidR="00C95099" w:rsidRPr="00C95099" w:rsidTr="00C95099">
        <w:trPr>
          <w:trHeight w:val="288"/>
        </w:trPr>
        <w:tc>
          <w:tcPr>
            <w:tcW w:w="975" w:type="dxa"/>
            <w:noWrap/>
            <w:hideMark/>
          </w:tcPr>
          <w:p w:rsidR="00C95099" w:rsidRPr="00C95099" w:rsidRDefault="00C95099" w:rsidP="00C95099"/>
        </w:tc>
        <w:tc>
          <w:tcPr>
            <w:tcW w:w="5966" w:type="dxa"/>
            <w:noWrap/>
            <w:hideMark/>
          </w:tcPr>
          <w:p w:rsidR="00C95099" w:rsidRPr="00C95099" w:rsidRDefault="00C95099">
            <w:r w:rsidRPr="00C95099">
              <w:t>  minus Fisim</w:t>
            </w:r>
          </w:p>
        </w:tc>
        <w:tc>
          <w:tcPr>
            <w:tcW w:w="803" w:type="dxa"/>
            <w:noWrap/>
            <w:hideMark/>
          </w:tcPr>
          <w:p w:rsidR="00C95099" w:rsidRPr="00C95099" w:rsidRDefault="00C95099" w:rsidP="00C95099">
            <w:r w:rsidRPr="00C95099">
              <w:t>-14.2</w:t>
            </w:r>
          </w:p>
        </w:tc>
        <w:tc>
          <w:tcPr>
            <w:tcW w:w="803" w:type="dxa"/>
            <w:noWrap/>
            <w:hideMark/>
          </w:tcPr>
          <w:p w:rsidR="00C95099" w:rsidRPr="00C95099" w:rsidRDefault="00C95099" w:rsidP="00C95099">
            <w:r w:rsidRPr="00C95099">
              <w:t>-4.7</w:t>
            </w:r>
          </w:p>
        </w:tc>
        <w:tc>
          <w:tcPr>
            <w:tcW w:w="803" w:type="dxa"/>
            <w:noWrap/>
            <w:hideMark/>
          </w:tcPr>
          <w:p w:rsidR="00C95099" w:rsidRPr="00C95099" w:rsidRDefault="00C95099" w:rsidP="00C95099">
            <w:r w:rsidRPr="00C95099">
              <w:t>-0.2</w:t>
            </w:r>
          </w:p>
        </w:tc>
      </w:tr>
      <w:tr w:rsidR="00C95099" w:rsidRPr="00C95099" w:rsidTr="00C95099">
        <w:trPr>
          <w:trHeight w:val="288"/>
        </w:trPr>
        <w:tc>
          <w:tcPr>
            <w:tcW w:w="975" w:type="dxa"/>
            <w:noWrap/>
            <w:hideMark/>
          </w:tcPr>
          <w:p w:rsidR="00C95099" w:rsidRPr="00C95099" w:rsidRDefault="00C95099">
            <w:pPr>
              <w:rPr>
                <w:b/>
                <w:bCs/>
              </w:rPr>
            </w:pPr>
            <w:r w:rsidRPr="00C95099">
              <w:rPr>
                <w:b/>
                <w:bCs/>
              </w:rPr>
              <w:t> </w:t>
            </w:r>
          </w:p>
        </w:tc>
        <w:tc>
          <w:tcPr>
            <w:tcW w:w="5966" w:type="dxa"/>
            <w:noWrap/>
            <w:hideMark/>
          </w:tcPr>
          <w:p w:rsidR="00C95099" w:rsidRPr="00C95099" w:rsidRDefault="00C95099">
            <w:pPr>
              <w:rPr>
                <w:b/>
                <w:bCs/>
              </w:rPr>
            </w:pPr>
            <w:r w:rsidRPr="00C95099">
              <w:rPr>
                <w:b/>
                <w:bCs/>
              </w:rPr>
              <w:t>Domestic Product gross, market prices</w:t>
            </w:r>
          </w:p>
        </w:tc>
        <w:tc>
          <w:tcPr>
            <w:tcW w:w="803" w:type="dxa"/>
            <w:noWrap/>
            <w:hideMark/>
          </w:tcPr>
          <w:p w:rsidR="00C95099" w:rsidRPr="00C95099" w:rsidRDefault="00C95099" w:rsidP="00C95099">
            <w:pPr>
              <w:rPr>
                <w:b/>
                <w:bCs/>
                <w:i/>
                <w:iCs/>
              </w:rPr>
            </w:pPr>
            <w:r w:rsidRPr="00C95099">
              <w:rPr>
                <w:b/>
                <w:bCs/>
                <w:i/>
                <w:iCs/>
              </w:rPr>
              <w:t>-1.0</w:t>
            </w:r>
          </w:p>
        </w:tc>
        <w:tc>
          <w:tcPr>
            <w:tcW w:w="803" w:type="dxa"/>
            <w:noWrap/>
            <w:hideMark/>
          </w:tcPr>
          <w:p w:rsidR="00C95099" w:rsidRPr="00C95099" w:rsidRDefault="00C95099" w:rsidP="00C95099">
            <w:pPr>
              <w:rPr>
                <w:b/>
                <w:bCs/>
                <w:i/>
                <w:iCs/>
              </w:rPr>
            </w:pPr>
            <w:r w:rsidRPr="00C95099">
              <w:rPr>
                <w:b/>
                <w:bCs/>
                <w:i/>
                <w:iCs/>
              </w:rPr>
              <w:t>-1.7</w:t>
            </w:r>
          </w:p>
        </w:tc>
        <w:tc>
          <w:tcPr>
            <w:tcW w:w="803" w:type="dxa"/>
            <w:noWrap/>
            <w:hideMark/>
          </w:tcPr>
          <w:p w:rsidR="00C95099" w:rsidRPr="00C95099" w:rsidRDefault="00C95099" w:rsidP="00C95099">
            <w:pPr>
              <w:rPr>
                <w:b/>
                <w:bCs/>
                <w:i/>
                <w:iCs/>
              </w:rPr>
            </w:pPr>
            <w:r w:rsidRPr="00C95099">
              <w:rPr>
                <w:b/>
                <w:bCs/>
                <w:i/>
                <w:iCs/>
              </w:rPr>
              <w:t>-2.2</w:t>
            </w:r>
          </w:p>
        </w:tc>
      </w:tr>
      <w:tr w:rsidR="00C95099" w:rsidRPr="00C95099" w:rsidTr="00C95099">
        <w:trPr>
          <w:trHeight w:val="288"/>
        </w:trPr>
        <w:tc>
          <w:tcPr>
            <w:tcW w:w="975" w:type="dxa"/>
            <w:noWrap/>
            <w:hideMark/>
          </w:tcPr>
          <w:p w:rsidR="00C95099" w:rsidRPr="00C95099" w:rsidRDefault="00C95099" w:rsidP="00C95099">
            <w:pPr>
              <w:rPr>
                <w:b/>
                <w:bCs/>
                <w:i/>
                <w:iCs/>
              </w:rPr>
            </w:pPr>
          </w:p>
        </w:tc>
        <w:tc>
          <w:tcPr>
            <w:tcW w:w="5966" w:type="dxa"/>
            <w:noWrap/>
            <w:hideMark/>
          </w:tcPr>
          <w:p w:rsidR="00C95099" w:rsidRPr="00C95099" w:rsidRDefault="00C95099"/>
        </w:tc>
        <w:tc>
          <w:tcPr>
            <w:tcW w:w="803" w:type="dxa"/>
            <w:noWrap/>
            <w:hideMark/>
          </w:tcPr>
          <w:p w:rsidR="00C95099" w:rsidRPr="00C95099" w:rsidRDefault="00C95099"/>
        </w:tc>
        <w:tc>
          <w:tcPr>
            <w:tcW w:w="803" w:type="dxa"/>
            <w:noWrap/>
            <w:hideMark/>
          </w:tcPr>
          <w:p w:rsidR="00C95099" w:rsidRPr="00C95099" w:rsidRDefault="00C95099"/>
        </w:tc>
        <w:tc>
          <w:tcPr>
            <w:tcW w:w="803" w:type="dxa"/>
            <w:noWrap/>
            <w:hideMark/>
          </w:tcPr>
          <w:p w:rsidR="00C95099" w:rsidRPr="00C95099" w:rsidRDefault="00C95099"/>
        </w:tc>
      </w:tr>
      <w:tr w:rsidR="00C95099" w:rsidRPr="00C95099" w:rsidTr="00C95099">
        <w:trPr>
          <w:trHeight w:val="288"/>
        </w:trPr>
        <w:tc>
          <w:tcPr>
            <w:tcW w:w="975" w:type="dxa"/>
            <w:shd w:val="clear" w:color="auto" w:fill="B8CCE4" w:themeFill="accent1" w:themeFillTint="66"/>
            <w:noWrap/>
            <w:hideMark/>
          </w:tcPr>
          <w:p w:rsidR="00C95099" w:rsidRPr="00C95099" w:rsidRDefault="00C95099">
            <w:r w:rsidRPr="00C95099">
              <w:t> </w:t>
            </w:r>
          </w:p>
        </w:tc>
        <w:tc>
          <w:tcPr>
            <w:tcW w:w="5966" w:type="dxa"/>
            <w:shd w:val="clear" w:color="auto" w:fill="B8CCE4" w:themeFill="accent1" w:themeFillTint="66"/>
            <w:noWrap/>
            <w:hideMark/>
          </w:tcPr>
          <w:p w:rsidR="00C95099" w:rsidRPr="00C95099" w:rsidRDefault="00C95099">
            <w:r w:rsidRPr="00C95099">
              <w:t> </w:t>
            </w:r>
          </w:p>
        </w:tc>
        <w:tc>
          <w:tcPr>
            <w:tcW w:w="803" w:type="dxa"/>
            <w:shd w:val="clear" w:color="auto" w:fill="B8CCE4" w:themeFill="accent1" w:themeFillTint="66"/>
            <w:noWrap/>
            <w:hideMark/>
          </w:tcPr>
          <w:p w:rsidR="00C95099" w:rsidRPr="00C95099" w:rsidRDefault="00C95099">
            <w:r w:rsidRPr="00C95099">
              <w:t> </w:t>
            </w:r>
          </w:p>
        </w:tc>
        <w:tc>
          <w:tcPr>
            <w:tcW w:w="803" w:type="dxa"/>
            <w:shd w:val="clear" w:color="auto" w:fill="B8CCE4" w:themeFill="accent1" w:themeFillTint="66"/>
            <w:noWrap/>
            <w:hideMark/>
          </w:tcPr>
          <w:p w:rsidR="00C95099" w:rsidRPr="00C95099" w:rsidRDefault="00C95099">
            <w:r w:rsidRPr="00C95099">
              <w:t> </w:t>
            </w:r>
          </w:p>
        </w:tc>
        <w:tc>
          <w:tcPr>
            <w:tcW w:w="803" w:type="dxa"/>
            <w:shd w:val="clear" w:color="auto" w:fill="B8CCE4" w:themeFill="accent1" w:themeFillTint="66"/>
            <w:noWrap/>
            <w:hideMark/>
          </w:tcPr>
          <w:p w:rsidR="00C95099" w:rsidRPr="00C95099" w:rsidRDefault="00C95099">
            <w:r w:rsidRPr="00C95099">
              <w:t> </w:t>
            </w:r>
          </w:p>
        </w:tc>
      </w:tr>
    </w:tbl>
    <w:p w:rsidR="0063327C" w:rsidRDefault="0063327C">
      <w:pPr>
        <w:rPr>
          <w:lang w:val="nl-NL"/>
        </w:rPr>
      </w:pPr>
    </w:p>
    <w:p w:rsidR="0063327C" w:rsidRDefault="0063327C">
      <w:pPr>
        <w:rPr>
          <w:lang w:val="nl-NL"/>
        </w:rPr>
      </w:pPr>
    </w:p>
    <w:p w:rsidR="0063327C" w:rsidRDefault="0063327C">
      <w:pPr>
        <w:rPr>
          <w:lang w:val="nl-NL"/>
        </w:rPr>
      </w:pPr>
    </w:p>
    <w:p w:rsidR="0063327C" w:rsidRDefault="0063327C">
      <w:pPr>
        <w:rPr>
          <w:lang w:val="nl-NL"/>
        </w:rPr>
      </w:pPr>
    </w:p>
    <w:p w:rsidR="0063327C" w:rsidRDefault="0063327C">
      <w:pPr>
        <w:rPr>
          <w:lang w:val="nl-NL"/>
        </w:rPr>
      </w:pPr>
    </w:p>
    <w:p w:rsidR="0063327C" w:rsidRDefault="0063327C">
      <w:pPr>
        <w:rPr>
          <w:lang w:val="nl-NL"/>
        </w:rPr>
      </w:pPr>
    </w:p>
    <w:sectPr w:rsidR="0063327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C2A" w:rsidRDefault="00043C2A" w:rsidP="00B4267E">
      <w:pPr>
        <w:spacing w:after="0" w:line="240" w:lineRule="auto"/>
      </w:pPr>
      <w:r>
        <w:separator/>
      </w:r>
    </w:p>
  </w:endnote>
  <w:endnote w:type="continuationSeparator" w:id="0">
    <w:p w:rsidR="00043C2A" w:rsidRDefault="00043C2A" w:rsidP="00B4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124915"/>
      <w:docPartObj>
        <w:docPartGallery w:val="Page Numbers (Bottom of Page)"/>
        <w:docPartUnique/>
      </w:docPartObj>
    </w:sdtPr>
    <w:sdtEndPr>
      <w:rPr>
        <w:noProof/>
      </w:rPr>
    </w:sdtEndPr>
    <w:sdtContent>
      <w:p w:rsidR="007D14DB" w:rsidRDefault="007D14DB">
        <w:pPr>
          <w:pStyle w:val="Footer"/>
          <w:jc w:val="right"/>
        </w:pPr>
        <w:r>
          <w:fldChar w:fldCharType="begin"/>
        </w:r>
        <w:r>
          <w:instrText xml:space="preserve"> PAGE   \* MERGEFORMAT </w:instrText>
        </w:r>
        <w:r>
          <w:fldChar w:fldCharType="separate"/>
        </w:r>
        <w:r w:rsidR="00520264">
          <w:rPr>
            <w:noProof/>
          </w:rPr>
          <w:t>2</w:t>
        </w:r>
        <w:r>
          <w:rPr>
            <w:noProof/>
          </w:rPr>
          <w:fldChar w:fldCharType="end"/>
        </w:r>
      </w:p>
    </w:sdtContent>
  </w:sdt>
  <w:p w:rsidR="007D14DB" w:rsidRDefault="007D1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C2A" w:rsidRDefault="00043C2A" w:rsidP="00B4267E">
      <w:pPr>
        <w:spacing w:after="0" w:line="240" w:lineRule="auto"/>
      </w:pPr>
      <w:r>
        <w:separator/>
      </w:r>
    </w:p>
  </w:footnote>
  <w:footnote w:type="continuationSeparator" w:id="0">
    <w:p w:rsidR="00043C2A" w:rsidRDefault="00043C2A" w:rsidP="00B4267E">
      <w:pPr>
        <w:spacing w:after="0" w:line="240" w:lineRule="auto"/>
      </w:pPr>
      <w:r>
        <w:continuationSeparator/>
      </w:r>
    </w:p>
  </w:footnote>
  <w:footnote w:id="1">
    <w:p w:rsidR="00B4267E" w:rsidRDefault="00B4267E" w:rsidP="004939EB">
      <w:pPr>
        <w:pStyle w:val="FootnoteText"/>
      </w:pPr>
      <w:r w:rsidRPr="00B226E7">
        <w:rPr>
          <w:rStyle w:val="FootnoteReference"/>
          <w:rFonts w:ascii="Cambria" w:hAnsi="Cambria"/>
        </w:rPr>
        <w:footnoteRef/>
      </w:r>
      <w:r w:rsidRPr="00B226E7">
        <w:rPr>
          <w:rFonts w:ascii="Cambria" w:hAnsi="Cambria"/>
        </w:rPr>
        <w:t xml:space="preserve">  </w:t>
      </w:r>
      <w:r w:rsidRPr="00B226E7">
        <w:rPr>
          <w:rFonts w:ascii="Cambria" w:hAnsi="Cambria"/>
          <w:sz w:val="18"/>
          <w:szCs w:val="18"/>
        </w:rPr>
        <w:t>International Monetary Fund. 201</w:t>
      </w:r>
      <w:r w:rsidR="00CB2CC9">
        <w:rPr>
          <w:rFonts w:ascii="Cambria" w:hAnsi="Cambria"/>
          <w:sz w:val="18"/>
          <w:szCs w:val="18"/>
        </w:rPr>
        <w:t>8. World Economic Outlook</w:t>
      </w:r>
      <w:r w:rsidR="004939EB">
        <w:rPr>
          <w:rFonts w:ascii="Cambria" w:hAnsi="Cambria"/>
          <w:sz w:val="18"/>
          <w:szCs w:val="18"/>
        </w:rPr>
        <w:t xml:space="preserve"> reports</w:t>
      </w:r>
      <w:r w:rsidR="00CB2CC9">
        <w:rPr>
          <w:rFonts w:ascii="Cambria" w:hAnsi="Cambria"/>
          <w:sz w:val="18"/>
          <w:szCs w:val="18"/>
        </w:rPr>
        <w:t>;</w:t>
      </w:r>
      <w:r w:rsidRPr="00B226E7">
        <w:rPr>
          <w:rFonts w:ascii="Cambria" w:hAnsi="Cambria"/>
          <w:sz w:val="18"/>
          <w:szCs w:val="18"/>
        </w:rPr>
        <w:t xml:space="preserve"> </w:t>
      </w:r>
      <w:r w:rsidR="004939EB" w:rsidRPr="004939EB">
        <w:rPr>
          <w:rFonts w:ascii="Cambria" w:hAnsi="Cambria"/>
          <w:sz w:val="18"/>
          <w:szCs w:val="18"/>
        </w:rPr>
        <w:t xml:space="preserve"> Growth Slowdown, Precarious Recovery</w:t>
      </w:r>
      <w:r w:rsidR="004939EB">
        <w:rPr>
          <w:rFonts w:ascii="Cambria" w:hAnsi="Cambria"/>
          <w:sz w:val="18"/>
          <w:szCs w:val="18"/>
        </w:rPr>
        <w:t xml:space="preserve">, </w:t>
      </w:r>
      <w:r w:rsidR="004939EB" w:rsidRPr="004939EB">
        <w:rPr>
          <w:rFonts w:ascii="Cambria" w:hAnsi="Cambria"/>
          <w:sz w:val="18"/>
          <w:szCs w:val="18"/>
        </w:rPr>
        <w:t>Washington</w:t>
      </w:r>
      <w:r w:rsidR="004939EB">
        <w:rPr>
          <w:rFonts w:ascii="Cambria" w:hAnsi="Cambria"/>
          <w:sz w:val="18"/>
          <w:szCs w:val="18"/>
        </w:rPr>
        <w:t xml:space="preserve">, </w:t>
      </w:r>
      <w:r w:rsidR="004939EB" w:rsidRPr="004939EB">
        <w:rPr>
          <w:rFonts w:ascii="Cambria" w:hAnsi="Cambria"/>
          <w:sz w:val="18"/>
          <w:szCs w:val="18"/>
        </w:rPr>
        <w:t xml:space="preserve"> April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E1"/>
    <w:rsid w:val="00000BB8"/>
    <w:rsid w:val="00002354"/>
    <w:rsid w:val="0000335A"/>
    <w:rsid w:val="0000412C"/>
    <w:rsid w:val="000042A6"/>
    <w:rsid w:val="0000483B"/>
    <w:rsid w:val="000058F2"/>
    <w:rsid w:val="00005C0E"/>
    <w:rsid w:val="00006068"/>
    <w:rsid w:val="0000652E"/>
    <w:rsid w:val="00010310"/>
    <w:rsid w:val="00012A49"/>
    <w:rsid w:val="000154A5"/>
    <w:rsid w:val="0002009B"/>
    <w:rsid w:val="00020A0F"/>
    <w:rsid w:val="00021265"/>
    <w:rsid w:val="000228C7"/>
    <w:rsid w:val="00024859"/>
    <w:rsid w:val="00025263"/>
    <w:rsid w:val="0002615A"/>
    <w:rsid w:val="00026CAB"/>
    <w:rsid w:val="00030EA6"/>
    <w:rsid w:val="00031269"/>
    <w:rsid w:val="000328FA"/>
    <w:rsid w:val="000343EB"/>
    <w:rsid w:val="0003628D"/>
    <w:rsid w:val="000363FF"/>
    <w:rsid w:val="00036BB3"/>
    <w:rsid w:val="00041843"/>
    <w:rsid w:val="0004209F"/>
    <w:rsid w:val="0004262F"/>
    <w:rsid w:val="00043127"/>
    <w:rsid w:val="00043546"/>
    <w:rsid w:val="000435F0"/>
    <w:rsid w:val="0004364F"/>
    <w:rsid w:val="00043BF9"/>
    <w:rsid w:val="00043C2A"/>
    <w:rsid w:val="00044050"/>
    <w:rsid w:val="00044F53"/>
    <w:rsid w:val="00047D55"/>
    <w:rsid w:val="000517B2"/>
    <w:rsid w:val="000519D3"/>
    <w:rsid w:val="00052228"/>
    <w:rsid w:val="00052600"/>
    <w:rsid w:val="000528F8"/>
    <w:rsid w:val="00052DA5"/>
    <w:rsid w:val="00052EFC"/>
    <w:rsid w:val="00053F91"/>
    <w:rsid w:val="00054CD0"/>
    <w:rsid w:val="00056418"/>
    <w:rsid w:val="00056FDF"/>
    <w:rsid w:val="0005761B"/>
    <w:rsid w:val="00057784"/>
    <w:rsid w:val="000606B8"/>
    <w:rsid w:val="000615C6"/>
    <w:rsid w:val="00063690"/>
    <w:rsid w:val="00063EF4"/>
    <w:rsid w:val="0006484C"/>
    <w:rsid w:val="00065CDE"/>
    <w:rsid w:val="00070C52"/>
    <w:rsid w:val="00072AE6"/>
    <w:rsid w:val="00072E3C"/>
    <w:rsid w:val="00073C7F"/>
    <w:rsid w:val="000775CD"/>
    <w:rsid w:val="00077C08"/>
    <w:rsid w:val="000820DD"/>
    <w:rsid w:val="000848D7"/>
    <w:rsid w:val="000869CE"/>
    <w:rsid w:val="000905E0"/>
    <w:rsid w:val="00090ED5"/>
    <w:rsid w:val="00093D7E"/>
    <w:rsid w:val="000946C5"/>
    <w:rsid w:val="000955EF"/>
    <w:rsid w:val="00097AE9"/>
    <w:rsid w:val="000A15D2"/>
    <w:rsid w:val="000A3306"/>
    <w:rsid w:val="000A4147"/>
    <w:rsid w:val="000A5A31"/>
    <w:rsid w:val="000A5EBC"/>
    <w:rsid w:val="000A6D42"/>
    <w:rsid w:val="000B014E"/>
    <w:rsid w:val="000B0579"/>
    <w:rsid w:val="000B3FAD"/>
    <w:rsid w:val="000B59A7"/>
    <w:rsid w:val="000B6FEF"/>
    <w:rsid w:val="000B746C"/>
    <w:rsid w:val="000C07A3"/>
    <w:rsid w:val="000C1E4D"/>
    <w:rsid w:val="000C4686"/>
    <w:rsid w:val="000C56D1"/>
    <w:rsid w:val="000C7AD2"/>
    <w:rsid w:val="000D1049"/>
    <w:rsid w:val="000D1E57"/>
    <w:rsid w:val="000D2917"/>
    <w:rsid w:val="000D672D"/>
    <w:rsid w:val="000D75BF"/>
    <w:rsid w:val="000D78B4"/>
    <w:rsid w:val="000E092B"/>
    <w:rsid w:val="000E0C0F"/>
    <w:rsid w:val="000E0F57"/>
    <w:rsid w:val="000E1894"/>
    <w:rsid w:val="000E5DC4"/>
    <w:rsid w:val="000E680F"/>
    <w:rsid w:val="000E6F69"/>
    <w:rsid w:val="000F02D0"/>
    <w:rsid w:val="000F0536"/>
    <w:rsid w:val="000F130D"/>
    <w:rsid w:val="000F1F6A"/>
    <w:rsid w:val="000F529D"/>
    <w:rsid w:val="000F53C0"/>
    <w:rsid w:val="000F5876"/>
    <w:rsid w:val="000F5FFA"/>
    <w:rsid w:val="000F7967"/>
    <w:rsid w:val="001023E4"/>
    <w:rsid w:val="00103CD3"/>
    <w:rsid w:val="00110699"/>
    <w:rsid w:val="001123EC"/>
    <w:rsid w:val="00112800"/>
    <w:rsid w:val="00113EBA"/>
    <w:rsid w:val="001208E0"/>
    <w:rsid w:val="00123B10"/>
    <w:rsid w:val="00123CD2"/>
    <w:rsid w:val="00125817"/>
    <w:rsid w:val="00125D0F"/>
    <w:rsid w:val="00130F21"/>
    <w:rsid w:val="001312BB"/>
    <w:rsid w:val="001315A8"/>
    <w:rsid w:val="00132AE2"/>
    <w:rsid w:val="00135953"/>
    <w:rsid w:val="00136D3C"/>
    <w:rsid w:val="00137939"/>
    <w:rsid w:val="001459C1"/>
    <w:rsid w:val="001463AC"/>
    <w:rsid w:val="001463D1"/>
    <w:rsid w:val="001474E7"/>
    <w:rsid w:val="00151A41"/>
    <w:rsid w:val="001548FE"/>
    <w:rsid w:val="00155891"/>
    <w:rsid w:val="00155D13"/>
    <w:rsid w:val="00156010"/>
    <w:rsid w:val="0015668E"/>
    <w:rsid w:val="0015674F"/>
    <w:rsid w:val="001571B0"/>
    <w:rsid w:val="00157A45"/>
    <w:rsid w:val="00161C92"/>
    <w:rsid w:val="0016269D"/>
    <w:rsid w:val="00164A13"/>
    <w:rsid w:val="0016615B"/>
    <w:rsid w:val="00170834"/>
    <w:rsid w:val="00173362"/>
    <w:rsid w:val="00173C7C"/>
    <w:rsid w:val="00174C18"/>
    <w:rsid w:val="00176FEF"/>
    <w:rsid w:val="0017706A"/>
    <w:rsid w:val="00177932"/>
    <w:rsid w:val="00177E3D"/>
    <w:rsid w:val="0018069B"/>
    <w:rsid w:val="00181B93"/>
    <w:rsid w:val="0018360E"/>
    <w:rsid w:val="00183B8F"/>
    <w:rsid w:val="00186059"/>
    <w:rsid w:val="0018633D"/>
    <w:rsid w:val="00193018"/>
    <w:rsid w:val="00193B2C"/>
    <w:rsid w:val="00194B3E"/>
    <w:rsid w:val="00195C96"/>
    <w:rsid w:val="001A036F"/>
    <w:rsid w:val="001A3059"/>
    <w:rsid w:val="001A570C"/>
    <w:rsid w:val="001A62BD"/>
    <w:rsid w:val="001A6928"/>
    <w:rsid w:val="001B0683"/>
    <w:rsid w:val="001B1302"/>
    <w:rsid w:val="001B1E8D"/>
    <w:rsid w:val="001B2608"/>
    <w:rsid w:val="001B28CD"/>
    <w:rsid w:val="001B2AE0"/>
    <w:rsid w:val="001B30BF"/>
    <w:rsid w:val="001B3601"/>
    <w:rsid w:val="001B3FC9"/>
    <w:rsid w:val="001B3FDC"/>
    <w:rsid w:val="001B5F28"/>
    <w:rsid w:val="001B67F4"/>
    <w:rsid w:val="001C0559"/>
    <w:rsid w:val="001C0B7C"/>
    <w:rsid w:val="001C0C2F"/>
    <w:rsid w:val="001D2253"/>
    <w:rsid w:val="001D2270"/>
    <w:rsid w:val="001D2433"/>
    <w:rsid w:val="001D2D7B"/>
    <w:rsid w:val="001D3ADA"/>
    <w:rsid w:val="001D630D"/>
    <w:rsid w:val="001E0CDF"/>
    <w:rsid w:val="001E0FFB"/>
    <w:rsid w:val="001E14F0"/>
    <w:rsid w:val="001E14FC"/>
    <w:rsid w:val="001E4CF0"/>
    <w:rsid w:val="001E51E1"/>
    <w:rsid w:val="001E62AB"/>
    <w:rsid w:val="001E7103"/>
    <w:rsid w:val="001F08F3"/>
    <w:rsid w:val="001F302B"/>
    <w:rsid w:val="001F3E63"/>
    <w:rsid w:val="001F47C2"/>
    <w:rsid w:val="001F5149"/>
    <w:rsid w:val="002037DF"/>
    <w:rsid w:val="0020495F"/>
    <w:rsid w:val="00205225"/>
    <w:rsid w:val="002064B6"/>
    <w:rsid w:val="00211B1C"/>
    <w:rsid w:val="00212970"/>
    <w:rsid w:val="002131CA"/>
    <w:rsid w:val="002148BC"/>
    <w:rsid w:val="0022211C"/>
    <w:rsid w:val="00223AD9"/>
    <w:rsid w:val="002266BA"/>
    <w:rsid w:val="0022690D"/>
    <w:rsid w:val="0022771D"/>
    <w:rsid w:val="002302FB"/>
    <w:rsid w:val="00231FC1"/>
    <w:rsid w:val="00233C9A"/>
    <w:rsid w:val="00233E35"/>
    <w:rsid w:val="002342B2"/>
    <w:rsid w:val="00234837"/>
    <w:rsid w:val="002361C0"/>
    <w:rsid w:val="00236E23"/>
    <w:rsid w:val="002427E4"/>
    <w:rsid w:val="00244401"/>
    <w:rsid w:val="002502CC"/>
    <w:rsid w:val="002511C5"/>
    <w:rsid w:val="002514BC"/>
    <w:rsid w:val="00251D09"/>
    <w:rsid w:val="00254867"/>
    <w:rsid w:val="002557D8"/>
    <w:rsid w:val="002560E6"/>
    <w:rsid w:val="00256DDE"/>
    <w:rsid w:val="002614DD"/>
    <w:rsid w:val="0026208A"/>
    <w:rsid w:val="0026316E"/>
    <w:rsid w:val="00263EFB"/>
    <w:rsid w:val="00265C14"/>
    <w:rsid w:val="00265C75"/>
    <w:rsid w:val="00270919"/>
    <w:rsid w:val="00270AA4"/>
    <w:rsid w:val="0027223F"/>
    <w:rsid w:val="00272678"/>
    <w:rsid w:val="00272781"/>
    <w:rsid w:val="002746A0"/>
    <w:rsid w:val="002746C0"/>
    <w:rsid w:val="00276B62"/>
    <w:rsid w:val="002808F7"/>
    <w:rsid w:val="002846D3"/>
    <w:rsid w:val="00284C03"/>
    <w:rsid w:val="00285C71"/>
    <w:rsid w:val="0028627E"/>
    <w:rsid w:val="00286F5B"/>
    <w:rsid w:val="002940EE"/>
    <w:rsid w:val="0029555F"/>
    <w:rsid w:val="00295984"/>
    <w:rsid w:val="002963FA"/>
    <w:rsid w:val="00296488"/>
    <w:rsid w:val="002A60DE"/>
    <w:rsid w:val="002B20FA"/>
    <w:rsid w:val="002B23B8"/>
    <w:rsid w:val="002B4CAB"/>
    <w:rsid w:val="002B59D1"/>
    <w:rsid w:val="002B5C6C"/>
    <w:rsid w:val="002C0C94"/>
    <w:rsid w:val="002C0CE9"/>
    <w:rsid w:val="002C144D"/>
    <w:rsid w:val="002C19A5"/>
    <w:rsid w:val="002C1B67"/>
    <w:rsid w:val="002C3952"/>
    <w:rsid w:val="002C3FD9"/>
    <w:rsid w:val="002C4888"/>
    <w:rsid w:val="002C4E52"/>
    <w:rsid w:val="002C7035"/>
    <w:rsid w:val="002C75E4"/>
    <w:rsid w:val="002D019F"/>
    <w:rsid w:val="002D03E9"/>
    <w:rsid w:val="002D18EE"/>
    <w:rsid w:val="002D403D"/>
    <w:rsid w:val="002D5DC9"/>
    <w:rsid w:val="002D5F71"/>
    <w:rsid w:val="002D78D1"/>
    <w:rsid w:val="002E0AA7"/>
    <w:rsid w:val="002E25AA"/>
    <w:rsid w:val="002E2BA3"/>
    <w:rsid w:val="002E2D8A"/>
    <w:rsid w:val="002E4B35"/>
    <w:rsid w:val="002E5354"/>
    <w:rsid w:val="002E60B5"/>
    <w:rsid w:val="002E796F"/>
    <w:rsid w:val="002E7C74"/>
    <w:rsid w:val="002F279B"/>
    <w:rsid w:val="002F4CD5"/>
    <w:rsid w:val="00300A55"/>
    <w:rsid w:val="00301388"/>
    <w:rsid w:val="00301456"/>
    <w:rsid w:val="003023D4"/>
    <w:rsid w:val="00302441"/>
    <w:rsid w:val="003056B6"/>
    <w:rsid w:val="00307EEF"/>
    <w:rsid w:val="003103FD"/>
    <w:rsid w:val="00310D44"/>
    <w:rsid w:val="00312266"/>
    <w:rsid w:val="0031683D"/>
    <w:rsid w:val="00316AA7"/>
    <w:rsid w:val="00317D6C"/>
    <w:rsid w:val="00323E50"/>
    <w:rsid w:val="003247A5"/>
    <w:rsid w:val="003267CD"/>
    <w:rsid w:val="00327B06"/>
    <w:rsid w:val="00327F95"/>
    <w:rsid w:val="00330F38"/>
    <w:rsid w:val="00331A5A"/>
    <w:rsid w:val="00333C32"/>
    <w:rsid w:val="00334002"/>
    <w:rsid w:val="003348A2"/>
    <w:rsid w:val="00334F79"/>
    <w:rsid w:val="003361D8"/>
    <w:rsid w:val="00337E2D"/>
    <w:rsid w:val="003415B3"/>
    <w:rsid w:val="00342462"/>
    <w:rsid w:val="0034545F"/>
    <w:rsid w:val="0034565C"/>
    <w:rsid w:val="00346454"/>
    <w:rsid w:val="003464E7"/>
    <w:rsid w:val="00346960"/>
    <w:rsid w:val="0034756A"/>
    <w:rsid w:val="00350C75"/>
    <w:rsid w:val="00350EC2"/>
    <w:rsid w:val="00352648"/>
    <w:rsid w:val="00352C0E"/>
    <w:rsid w:val="00352E89"/>
    <w:rsid w:val="00354C5C"/>
    <w:rsid w:val="00354FAA"/>
    <w:rsid w:val="00355B0D"/>
    <w:rsid w:val="00356834"/>
    <w:rsid w:val="00360046"/>
    <w:rsid w:val="00360AA3"/>
    <w:rsid w:val="0036128F"/>
    <w:rsid w:val="00361B75"/>
    <w:rsid w:val="003624A5"/>
    <w:rsid w:val="00362794"/>
    <w:rsid w:val="00363515"/>
    <w:rsid w:val="00365322"/>
    <w:rsid w:val="00375CC6"/>
    <w:rsid w:val="00382AB8"/>
    <w:rsid w:val="00382EFB"/>
    <w:rsid w:val="00386060"/>
    <w:rsid w:val="00386660"/>
    <w:rsid w:val="00392605"/>
    <w:rsid w:val="00392B46"/>
    <w:rsid w:val="003A06A2"/>
    <w:rsid w:val="003A141F"/>
    <w:rsid w:val="003A1997"/>
    <w:rsid w:val="003A35B7"/>
    <w:rsid w:val="003A47BE"/>
    <w:rsid w:val="003A569E"/>
    <w:rsid w:val="003A5842"/>
    <w:rsid w:val="003A65E0"/>
    <w:rsid w:val="003A6CA4"/>
    <w:rsid w:val="003A7B35"/>
    <w:rsid w:val="003B38C2"/>
    <w:rsid w:val="003B458C"/>
    <w:rsid w:val="003B4A40"/>
    <w:rsid w:val="003B4BE2"/>
    <w:rsid w:val="003B4ECE"/>
    <w:rsid w:val="003B537F"/>
    <w:rsid w:val="003B5DB7"/>
    <w:rsid w:val="003B7DBF"/>
    <w:rsid w:val="003C0D4B"/>
    <w:rsid w:val="003C2F6A"/>
    <w:rsid w:val="003D03AF"/>
    <w:rsid w:val="003D1823"/>
    <w:rsid w:val="003D1B57"/>
    <w:rsid w:val="003D264B"/>
    <w:rsid w:val="003D37A9"/>
    <w:rsid w:val="003D3843"/>
    <w:rsid w:val="003E5CAB"/>
    <w:rsid w:val="003E666A"/>
    <w:rsid w:val="003F0D8E"/>
    <w:rsid w:val="003F1316"/>
    <w:rsid w:val="003F17CB"/>
    <w:rsid w:val="003F2064"/>
    <w:rsid w:val="003F2BE4"/>
    <w:rsid w:val="003F4180"/>
    <w:rsid w:val="003F46B0"/>
    <w:rsid w:val="003F4F15"/>
    <w:rsid w:val="003F708C"/>
    <w:rsid w:val="003F73E8"/>
    <w:rsid w:val="003F7882"/>
    <w:rsid w:val="00402D07"/>
    <w:rsid w:val="00404475"/>
    <w:rsid w:val="00407120"/>
    <w:rsid w:val="00410E9D"/>
    <w:rsid w:val="00411F31"/>
    <w:rsid w:val="00414FE0"/>
    <w:rsid w:val="00415275"/>
    <w:rsid w:val="004152FC"/>
    <w:rsid w:val="004156A0"/>
    <w:rsid w:val="00417A6E"/>
    <w:rsid w:val="0042093A"/>
    <w:rsid w:val="00421607"/>
    <w:rsid w:val="004251C7"/>
    <w:rsid w:val="004254F3"/>
    <w:rsid w:val="004273BE"/>
    <w:rsid w:val="00432AA2"/>
    <w:rsid w:val="00434BC3"/>
    <w:rsid w:val="00435D78"/>
    <w:rsid w:val="00440CC2"/>
    <w:rsid w:val="00443201"/>
    <w:rsid w:val="00443737"/>
    <w:rsid w:val="00443B91"/>
    <w:rsid w:val="00446DD6"/>
    <w:rsid w:val="00450146"/>
    <w:rsid w:val="00451E27"/>
    <w:rsid w:val="00453EBB"/>
    <w:rsid w:val="00455CD9"/>
    <w:rsid w:val="00457003"/>
    <w:rsid w:val="00460A39"/>
    <w:rsid w:val="004615FD"/>
    <w:rsid w:val="00462E49"/>
    <w:rsid w:val="00463CB6"/>
    <w:rsid w:val="004641EA"/>
    <w:rsid w:val="0046429D"/>
    <w:rsid w:val="00467829"/>
    <w:rsid w:val="0047042E"/>
    <w:rsid w:val="0047079C"/>
    <w:rsid w:val="00471764"/>
    <w:rsid w:val="0047244C"/>
    <w:rsid w:val="00472BA7"/>
    <w:rsid w:val="00473605"/>
    <w:rsid w:val="00473E6F"/>
    <w:rsid w:val="0047580B"/>
    <w:rsid w:val="00476074"/>
    <w:rsid w:val="0047686C"/>
    <w:rsid w:val="00477C15"/>
    <w:rsid w:val="00481372"/>
    <w:rsid w:val="004816AF"/>
    <w:rsid w:val="004823A4"/>
    <w:rsid w:val="00487A20"/>
    <w:rsid w:val="00490698"/>
    <w:rsid w:val="00490E99"/>
    <w:rsid w:val="004939EB"/>
    <w:rsid w:val="0049432B"/>
    <w:rsid w:val="004960EF"/>
    <w:rsid w:val="004A2AC0"/>
    <w:rsid w:val="004A470E"/>
    <w:rsid w:val="004A4B4E"/>
    <w:rsid w:val="004A6B1E"/>
    <w:rsid w:val="004A6BDF"/>
    <w:rsid w:val="004A7579"/>
    <w:rsid w:val="004B100C"/>
    <w:rsid w:val="004B2973"/>
    <w:rsid w:val="004B31DF"/>
    <w:rsid w:val="004B3858"/>
    <w:rsid w:val="004B3A34"/>
    <w:rsid w:val="004B7A61"/>
    <w:rsid w:val="004C1B38"/>
    <w:rsid w:val="004C239E"/>
    <w:rsid w:val="004C415F"/>
    <w:rsid w:val="004C4D07"/>
    <w:rsid w:val="004C5D30"/>
    <w:rsid w:val="004D022E"/>
    <w:rsid w:val="004D0EEE"/>
    <w:rsid w:val="004D1FA4"/>
    <w:rsid w:val="004D30C0"/>
    <w:rsid w:val="004D3DEF"/>
    <w:rsid w:val="004D4446"/>
    <w:rsid w:val="004D7D69"/>
    <w:rsid w:val="004E434C"/>
    <w:rsid w:val="004E50ED"/>
    <w:rsid w:val="004E6B6C"/>
    <w:rsid w:val="004F0CCE"/>
    <w:rsid w:val="0050144F"/>
    <w:rsid w:val="00503A86"/>
    <w:rsid w:val="005055E7"/>
    <w:rsid w:val="005105C7"/>
    <w:rsid w:val="005105D9"/>
    <w:rsid w:val="00510AED"/>
    <w:rsid w:val="00510B77"/>
    <w:rsid w:val="00516EC2"/>
    <w:rsid w:val="00520264"/>
    <w:rsid w:val="005208D8"/>
    <w:rsid w:val="005209A4"/>
    <w:rsid w:val="005219AA"/>
    <w:rsid w:val="00522AEE"/>
    <w:rsid w:val="00523226"/>
    <w:rsid w:val="00523A5E"/>
    <w:rsid w:val="00523E99"/>
    <w:rsid w:val="00524DBA"/>
    <w:rsid w:val="00526C0B"/>
    <w:rsid w:val="00527A80"/>
    <w:rsid w:val="00530451"/>
    <w:rsid w:val="00530F01"/>
    <w:rsid w:val="00533D22"/>
    <w:rsid w:val="00533D60"/>
    <w:rsid w:val="00533E8C"/>
    <w:rsid w:val="00535BEF"/>
    <w:rsid w:val="00536F72"/>
    <w:rsid w:val="0054014A"/>
    <w:rsid w:val="0054205D"/>
    <w:rsid w:val="005438DB"/>
    <w:rsid w:val="0055090C"/>
    <w:rsid w:val="00553B8F"/>
    <w:rsid w:val="00553ECC"/>
    <w:rsid w:val="00553F63"/>
    <w:rsid w:val="0055401E"/>
    <w:rsid w:val="005546D0"/>
    <w:rsid w:val="00556801"/>
    <w:rsid w:val="005570C8"/>
    <w:rsid w:val="005573CC"/>
    <w:rsid w:val="005576D4"/>
    <w:rsid w:val="00557967"/>
    <w:rsid w:val="00557F50"/>
    <w:rsid w:val="00562BB2"/>
    <w:rsid w:val="00564764"/>
    <w:rsid w:val="00565180"/>
    <w:rsid w:val="00571086"/>
    <w:rsid w:val="00571D35"/>
    <w:rsid w:val="00574F38"/>
    <w:rsid w:val="00576260"/>
    <w:rsid w:val="00581886"/>
    <w:rsid w:val="0058631C"/>
    <w:rsid w:val="005865FB"/>
    <w:rsid w:val="00592B60"/>
    <w:rsid w:val="00593B8B"/>
    <w:rsid w:val="00594B56"/>
    <w:rsid w:val="005956BD"/>
    <w:rsid w:val="005A04C6"/>
    <w:rsid w:val="005A0772"/>
    <w:rsid w:val="005A1F88"/>
    <w:rsid w:val="005A4EF8"/>
    <w:rsid w:val="005A63FE"/>
    <w:rsid w:val="005A70E8"/>
    <w:rsid w:val="005B4348"/>
    <w:rsid w:val="005B5BF6"/>
    <w:rsid w:val="005B655C"/>
    <w:rsid w:val="005B71D0"/>
    <w:rsid w:val="005C1FFF"/>
    <w:rsid w:val="005C289A"/>
    <w:rsid w:val="005C29F4"/>
    <w:rsid w:val="005C3A3A"/>
    <w:rsid w:val="005C560A"/>
    <w:rsid w:val="005C60E1"/>
    <w:rsid w:val="005D24AD"/>
    <w:rsid w:val="005D2D3D"/>
    <w:rsid w:val="005D3FBF"/>
    <w:rsid w:val="005D4162"/>
    <w:rsid w:val="005D49AE"/>
    <w:rsid w:val="005D712F"/>
    <w:rsid w:val="005E17D8"/>
    <w:rsid w:val="005E76E8"/>
    <w:rsid w:val="005F0118"/>
    <w:rsid w:val="005F11A0"/>
    <w:rsid w:val="005F1EAA"/>
    <w:rsid w:val="005F22B3"/>
    <w:rsid w:val="005F350E"/>
    <w:rsid w:val="005F497D"/>
    <w:rsid w:val="005F5510"/>
    <w:rsid w:val="0060051A"/>
    <w:rsid w:val="0060339B"/>
    <w:rsid w:val="006050D4"/>
    <w:rsid w:val="00606EB5"/>
    <w:rsid w:val="006073F2"/>
    <w:rsid w:val="00607938"/>
    <w:rsid w:val="00607AEB"/>
    <w:rsid w:val="00607F1B"/>
    <w:rsid w:val="0061562C"/>
    <w:rsid w:val="00617281"/>
    <w:rsid w:val="0061792D"/>
    <w:rsid w:val="00617B21"/>
    <w:rsid w:val="00626275"/>
    <w:rsid w:val="00627A2A"/>
    <w:rsid w:val="00630188"/>
    <w:rsid w:val="0063327C"/>
    <w:rsid w:val="0063348C"/>
    <w:rsid w:val="0063356B"/>
    <w:rsid w:val="00633A2A"/>
    <w:rsid w:val="00633DF7"/>
    <w:rsid w:val="0063419C"/>
    <w:rsid w:val="0063541D"/>
    <w:rsid w:val="00635E56"/>
    <w:rsid w:val="00637304"/>
    <w:rsid w:val="006379D7"/>
    <w:rsid w:val="00641EF5"/>
    <w:rsid w:val="00642435"/>
    <w:rsid w:val="00642F18"/>
    <w:rsid w:val="00643FCA"/>
    <w:rsid w:val="00644742"/>
    <w:rsid w:val="006457DD"/>
    <w:rsid w:val="006469E7"/>
    <w:rsid w:val="00646BBE"/>
    <w:rsid w:val="00647F06"/>
    <w:rsid w:val="0065019D"/>
    <w:rsid w:val="00650ED7"/>
    <w:rsid w:val="00650F0F"/>
    <w:rsid w:val="006515A2"/>
    <w:rsid w:val="00654E14"/>
    <w:rsid w:val="006564C9"/>
    <w:rsid w:val="00656C27"/>
    <w:rsid w:val="00656F0A"/>
    <w:rsid w:val="0065729D"/>
    <w:rsid w:val="006572BF"/>
    <w:rsid w:val="00660F13"/>
    <w:rsid w:val="00661B5D"/>
    <w:rsid w:val="00662372"/>
    <w:rsid w:val="00664335"/>
    <w:rsid w:val="0066722F"/>
    <w:rsid w:val="00667A3A"/>
    <w:rsid w:val="00670ACB"/>
    <w:rsid w:val="00671891"/>
    <w:rsid w:val="0067232A"/>
    <w:rsid w:val="006737E5"/>
    <w:rsid w:val="006749F5"/>
    <w:rsid w:val="00675E88"/>
    <w:rsid w:val="00677812"/>
    <w:rsid w:val="006802FC"/>
    <w:rsid w:val="006804AE"/>
    <w:rsid w:val="00681060"/>
    <w:rsid w:val="00681B83"/>
    <w:rsid w:val="006832B9"/>
    <w:rsid w:val="00683721"/>
    <w:rsid w:val="00684210"/>
    <w:rsid w:val="00685137"/>
    <w:rsid w:val="00685826"/>
    <w:rsid w:val="006858FD"/>
    <w:rsid w:val="00690084"/>
    <w:rsid w:val="0069201E"/>
    <w:rsid w:val="006940D8"/>
    <w:rsid w:val="006940FB"/>
    <w:rsid w:val="00694FFA"/>
    <w:rsid w:val="00695657"/>
    <w:rsid w:val="00696834"/>
    <w:rsid w:val="00696A38"/>
    <w:rsid w:val="006A248D"/>
    <w:rsid w:val="006A391E"/>
    <w:rsid w:val="006A48AB"/>
    <w:rsid w:val="006A4C71"/>
    <w:rsid w:val="006A54D7"/>
    <w:rsid w:val="006A7354"/>
    <w:rsid w:val="006B00B1"/>
    <w:rsid w:val="006B01FA"/>
    <w:rsid w:val="006B0651"/>
    <w:rsid w:val="006B090E"/>
    <w:rsid w:val="006B095D"/>
    <w:rsid w:val="006B557B"/>
    <w:rsid w:val="006B6CF0"/>
    <w:rsid w:val="006C1225"/>
    <w:rsid w:val="006C172F"/>
    <w:rsid w:val="006C17C6"/>
    <w:rsid w:val="006C2B74"/>
    <w:rsid w:val="006C34B2"/>
    <w:rsid w:val="006C3690"/>
    <w:rsid w:val="006C48D5"/>
    <w:rsid w:val="006C49AB"/>
    <w:rsid w:val="006C66D1"/>
    <w:rsid w:val="006C7E40"/>
    <w:rsid w:val="006D1431"/>
    <w:rsid w:val="006D1B30"/>
    <w:rsid w:val="006D38C7"/>
    <w:rsid w:val="006D42DA"/>
    <w:rsid w:val="006D47F3"/>
    <w:rsid w:val="006D61AC"/>
    <w:rsid w:val="006D6FA2"/>
    <w:rsid w:val="006D7B12"/>
    <w:rsid w:val="006E1FDE"/>
    <w:rsid w:val="006E2183"/>
    <w:rsid w:val="006E2C4A"/>
    <w:rsid w:val="006E3741"/>
    <w:rsid w:val="006E3D57"/>
    <w:rsid w:val="006E3EB6"/>
    <w:rsid w:val="006F037B"/>
    <w:rsid w:val="006F0389"/>
    <w:rsid w:val="006F314F"/>
    <w:rsid w:val="006F6175"/>
    <w:rsid w:val="006F75CE"/>
    <w:rsid w:val="00700377"/>
    <w:rsid w:val="007009D9"/>
    <w:rsid w:val="007032B3"/>
    <w:rsid w:val="00703B2F"/>
    <w:rsid w:val="00705A1C"/>
    <w:rsid w:val="00706DB6"/>
    <w:rsid w:val="00707900"/>
    <w:rsid w:val="00710669"/>
    <w:rsid w:val="00713A8E"/>
    <w:rsid w:val="00715C1E"/>
    <w:rsid w:val="007168A7"/>
    <w:rsid w:val="00717211"/>
    <w:rsid w:val="00720F48"/>
    <w:rsid w:val="0072166A"/>
    <w:rsid w:val="00721886"/>
    <w:rsid w:val="00721A8F"/>
    <w:rsid w:val="007229A9"/>
    <w:rsid w:val="007236FE"/>
    <w:rsid w:val="00724352"/>
    <w:rsid w:val="0072551A"/>
    <w:rsid w:val="00725EDA"/>
    <w:rsid w:val="007271A6"/>
    <w:rsid w:val="00731C0E"/>
    <w:rsid w:val="00731F22"/>
    <w:rsid w:val="00732442"/>
    <w:rsid w:val="0073450E"/>
    <w:rsid w:val="00734E6B"/>
    <w:rsid w:val="0073542E"/>
    <w:rsid w:val="00736982"/>
    <w:rsid w:val="007400FB"/>
    <w:rsid w:val="0074234C"/>
    <w:rsid w:val="00743CDF"/>
    <w:rsid w:val="007527FF"/>
    <w:rsid w:val="00752D51"/>
    <w:rsid w:val="00753CFC"/>
    <w:rsid w:val="00755E32"/>
    <w:rsid w:val="0076036F"/>
    <w:rsid w:val="00761AF9"/>
    <w:rsid w:val="007631BC"/>
    <w:rsid w:val="00765ACD"/>
    <w:rsid w:val="00767CDF"/>
    <w:rsid w:val="00770F19"/>
    <w:rsid w:val="0077204D"/>
    <w:rsid w:val="0077446C"/>
    <w:rsid w:val="00774501"/>
    <w:rsid w:val="007750F3"/>
    <w:rsid w:val="00776562"/>
    <w:rsid w:val="0078223E"/>
    <w:rsid w:val="007823DB"/>
    <w:rsid w:val="00783D88"/>
    <w:rsid w:val="00784F10"/>
    <w:rsid w:val="00785B05"/>
    <w:rsid w:val="00785B25"/>
    <w:rsid w:val="00786668"/>
    <w:rsid w:val="00786D22"/>
    <w:rsid w:val="00790E79"/>
    <w:rsid w:val="00792548"/>
    <w:rsid w:val="007929D7"/>
    <w:rsid w:val="00793B17"/>
    <w:rsid w:val="00795346"/>
    <w:rsid w:val="007A2B68"/>
    <w:rsid w:val="007A47C6"/>
    <w:rsid w:val="007A4C12"/>
    <w:rsid w:val="007A54DB"/>
    <w:rsid w:val="007A5E71"/>
    <w:rsid w:val="007A688A"/>
    <w:rsid w:val="007B0889"/>
    <w:rsid w:val="007B1129"/>
    <w:rsid w:val="007B1AB5"/>
    <w:rsid w:val="007B2868"/>
    <w:rsid w:val="007B45AA"/>
    <w:rsid w:val="007B4D0C"/>
    <w:rsid w:val="007C195D"/>
    <w:rsid w:val="007C26C9"/>
    <w:rsid w:val="007C2866"/>
    <w:rsid w:val="007C3C2A"/>
    <w:rsid w:val="007C6256"/>
    <w:rsid w:val="007C6993"/>
    <w:rsid w:val="007C69E2"/>
    <w:rsid w:val="007D140C"/>
    <w:rsid w:val="007D14DB"/>
    <w:rsid w:val="007D1657"/>
    <w:rsid w:val="007D1B79"/>
    <w:rsid w:val="007D7481"/>
    <w:rsid w:val="007D76D3"/>
    <w:rsid w:val="007E3118"/>
    <w:rsid w:val="007E3FA6"/>
    <w:rsid w:val="007E79EF"/>
    <w:rsid w:val="007F2367"/>
    <w:rsid w:val="007F3635"/>
    <w:rsid w:val="007F3EE3"/>
    <w:rsid w:val="007F5AA1"/>
    <w:rsid w:val="007F5EF3"/>
    <w:rsid w:val="007F60A8"/>
    <w:rsid w:val="007F62E5"/>
    <w:rsid w:val="00802948"/>
    <w:rsid w:val="00802E2A"/>
    <w:rsid w:val="00803D23"/>
    <w:rsid w:val="00803E88"/>
    <w:rsid w:val="00805FF9"/>
    <w:rsid w:val="00806F4F"/>
    <w:rsid w:val="00810710"/>
    <w:rsid w:val="00812511"/>
    <w:rsid w:val="00813F78"/>
    <w:rsid w:val="00814F7A"/>
    <w:rsid w:val="00815325"/>
    <w:rsid w:val="00815531"/>
    <w:rsid w:val="008159C1"/>
    <w:rsid w:val="00815D38"/>
    <w:rsid w:val="00820FDD"/>
    <w:rsid w:val="00821C3D"/>
    <w:rsid w:val="00825619"/>
    <w:rsid w:val="00826400"/>
    <w:rsid w:val="008264E6"/>
    <w:rsid w:val="0082785F"/>
    <w:rsid w:val="00830250"/>
    <w:rsid w:val="0083138F"/>
    <w:rsid w:val="00832418"/>
    <w:rsid w:val="0083662F"/>
    <w:rsid w:val="00837AF6"/>
    <w:rsid w:val="0084027F"/>
    <w:rsid w:val="00840DA1"/>
    <w:rsid w:val="00843EBE"/>
    <w:rsid w:val="00844154"/>
    <w:rsid w:val="00844B3A"/>
    <w:rsid w:val="008455A0"/>
    <w:rsid w:val="00847F6C"/>
    <w:rsid w:val="00853702"/>
    <w:rsid w:val="00855C01"/>
    <w:rsid w:val="00856171"/>
    <w:rsid w:val="008569B0"/>
    <w:rsid w:val="008573C8"/>
    <w:rsid w:val="00857EA6"/>
    <w:rsid w:val="008637F0"/>
    <w:rsid w:val="00864193"/>
    <w:rsid w:val="00864F33"/>
    <w:rsid w:val="00866600"/>
    <w:rsid w:val="00866BE2"/>
    <w:rsid w:val="008670E1"/>
    <w:rsid w:val="00872043"/>
    <w:rsid w:val="00874089"/>
    <w:rsid w:val="0087678A"/>
    <w:rsid w:val="0087696D"/>
    <w:rsid w:val="0088259A"/>
    <w:rsid w:val="00887FBE"/>
    <w:rsid w:val="00890315"/>
    <w:rsid w:val="00890377"/>
    <w:rsid w:val="00890C33"/>
    <w:rsid w:val="0089100B"/>
    <w:rsid w:val="00892C53"/>
    <w:rsid w:val="00894F01"/>
    <w:rsid w:val="0089564F"/>
    <w:rsid w:val="00895BD1"/>
    <w:rsid w:val="00895BD6"/>
    <w:rsid w:val="0089702E"/>
    <w:rsid w:val="00897287"/>
    <w:rsid w:val="00897CB7"/>
    <w:rsid w:val="008A06FF"/>
    <w:rsid w:val="008A4AAB"/>
    <w:rsid w:val="008A63CE"/>
    <w:rsid w:val="008A67CB"/>
    <w:rsid w:val="008A6E86"/>
    <w:rsid w:val="008B12B9"/>
    <w:rsid w:val="008B2225"/>
    <w:rsid w:val="008B494B"/>
    <w:rsid w:val="008B55D2"/>
    <w:rsid w:val="008B7FF3"/>
    <w:rsid w:val="008C057B"/>
    <w:rsid w:val="008C171C"/>
    <w:rsid w:val="008C1C48"/>
    <w:rsid w:val="008C27FB"/>
    <w:rsid w:val="008C354F"/>
    <w:rsid w:val="008C67B1"/>
    <w:rsid w:val="008C7277"/>
    <w:rsid w:val="008D0365"/>
    <w:rsid w:val="008D036B"/>
    <w:rsid w:val="008D193B"/>
    <w:rsid w:val="008D46DE"/>
    <w:rsid w:val="008D60A8"/>
    <w:rsid w:val="008D60C2"/>
    <w:rsid w:val="008D62F6"/>
    <w:rsid w:val="008E0A6F"/>
    <w:rsid w:val="008E0B7D"/>
    <w:rsid w:val="008E39E7"/>
    <w:rsid w:val="008E5247"/>
    <w:rsid w:val="008E52C3"/>
    <w:rsid w:val="008E6C45"/>
    <w:rsid w:val="008F3268"/>
    <w:rsid w:val="008F381D"/>
    <w:rsid w:val="008F431C"/>
    <w:rsid w:val="008F6268"/>
    <w:rsid w:val="009011A8"/>
    <w:rsid w:val="00901B1B"/>
    <w:rsid w:val="00904955"/>
    <w:rsid w:val="00905D0C"/>
    <w:rsid w:val="00905E7D"/>
    <w:rsid w:val="00906829"/>
    <w:rsid w:val="00907966"/>
    <w:rsid w:val="00910A01"/>
    <w:rsid w:val="0091620A"/>
    <w:rsid w:val="009167A1"/>
    <w:rsid w:val="0092664F"/>
    <w:rsid w:val="009269EB"/>
    <w:rsid w:val="0092747F"/>
    <w:rsid w:val="00931045"/>
    <w:rsid w:val="00933B85"/>
    <w:rsid w:val="00933C8E"/>
    <w:rsid w:val="0093486F"/>
    <w:rsid w:val="0093508C"/>
    <w:rsid w:val="00935CAE"/>
    <w:rsid w:val="009421AE"/>
    <w:rsid w:val="0094308F"/>
    <w:rsid w:val="00943F59"/>
    <w:rsid w:val="00945241"/>
    <w:rsid w:val="00946B81"/>
    <w:rsid w:val="00947EBA"/>
    <w:rsid w:val="009527E5"/>
    <w:rsid w:val="00952952"/>
    <w:rsid w:val="009543FC"/>
    <w:rsid w:val="0095631F"/>
    <w:rsid w:val="00956377"/>
    <w:rsid w:val="00956EF7"/>
    <w:rsid w:val="00960EDE"/>
    <w:rsid w:val="00961846"/>
    <w:rsid w:val="00962FDA"/>
    <w:rsid w:val="00963595"/>
    <w:rsid w:val="00963649"/>
    <w:rsid w:val="009639EC"/>
    <w:rsid w:val="00964333"/>
    <w:rsid w:val="0096502F"/>
    <w:rsid w:val="0096559D"/>
    <w:rsid w:val="009664A7"/>
    <w:rsid w:val="00971738"/>
    <w:rsid w:val="009728AA"/>
    <w:rsid w:val="00974798"/>
    <w:rsid w:val="00976D3C"/>
    <w:rsid w:val="0098639C"/>
    <w:rsid w:val="009866CB"/>
    <w:rsid w:val="00986943"/>
    <w:rsid w:val="009908D0"/>
    <w:rsid w:val="0099099A"/>
    <w:rsid w:val="009912C7"/>
    <w:rsid w:val="0099232C"/>
    <w:rsid w:val="00995965"/>
    <w:rsid w:val="00996139"/>
    <w:rsid w:val="00996809"/>
    <w:rsid w:val="00997FCC"/>
    <w:rsid w:val="009A14C9"/>
    <w:rsid w:val="009A2154"/>
    <w:rsid w:val="009A3240"/>
    <w:rsid w:val="009A4906"/>
    <w:rsid w:val="009A5462"/>
    <w:rsid w:val="009A5580"/>
    <w:rsid w:val="009A66D0"/>
    <w:rsid w:val="009A7CB2"/>
    <w:rsid w:val="009A7DB8"/>
    <w:rsid w:val="009B2AC2"/>
    <w:rsid w:val="009B32CD"/>
    <w:rsid w:val="009B3881"/>
    <w:rsid w:val="009B4D75"/>
    <w:rsid w:val="009B6ECD"/>
    <w:rsid w:val="009B72CF"/>
    <w:rsid w:val="009C0778"/>
    <w:rsid w:val="009C3B85"/>
    <w:rsid w:val="009C3FC9"/>
    <w:rsid w:val="009C5ED3"/>
    <w:rsid w:val="009C75D9"/>
    <w:rsid w:val="009D0A18"/>
    <w:rsid w:val="009D1521"/>
    <w:rsid w:val="009D42E4"/>
    <w:rsid w:val="009D4566"/>
    <w:rsid w:val="009D4C24"/>
    <w:rsid w:val="009D6421"/>
    <w:rsid w:val="009D7BE7"/>
    <w:rsid w:val="009D7E69"/>
    <w:rsid w:val="009E3233"/>
    <w:rsid w:val="009E41FE"/>
    <w:rsid w:val="009E4AE3"/>
    <w:rsid w:val="009E6FC4"/>
    <w:rsid w:val="009E718A"/>
    <w:rsid w:val="009F09CB"/>
    <w:rsid w:val="009F0DF2"/>
    <w:rsid w:val="009F0EF9"/>
    <w:rsid w:val="009F32EB"/>
    <w:rsid w:val="009F6FC8"/>
    <w:rsid w:val="00A035BA"/>
    <w:rsid w:val="00A03C02"/>
    <w:rsid w:val="00A07ACB"/>
    <w:rsid w:val="00A07FAF"/>
    <w:rsid w:val="00A114FC"/>
    <w:rsid w:val="00A117C7"/>
    <w:rsid w:val="00A117DD"/>
    <w:rsid w:val="00A134C7"/>
    <w:rsid w:val="00A177B3"/>
    <w:rsid w:val="00A20D78"/>
    <w:rsid w:val="00A212DC"/>
    <w:rsid w:val="00A21355"/>
    <w:rsid w:val="00A22C42"/>
    <w:rsid w:val="00A22E28"/>
    <w:rsid w:val="00A25C56"/>
    <w:rsid w:val="00A26512"/>
    <w:rsid w:val="00A32C5E"/>
    <w:rsid w:val="00A349B6"/>
    <w:rsid w:val="00A35861"/>
    <w:rsid w:val="00A35D5B"/>
    <w:rsid w:val="00A4134E"/>
    <w:rsid w:val="00A4137E"/>
    <w:rsid w:val="00A41CF0"/>
    <w:rsid w:val="00A4453F"/>
    <w:rsid w:val="00A4548E"/>
    <w:rsid w:val="00A51A65"/>
    <w:rsid w:val="00A51F30"/>
    <w:rsid w:val="00A54980"/>
    <w:rsid w:val="00A54C9D"/>
    <w:rsid w:val="00A5794B"/>
    <w:rsid w:val="00A602C1"/>
    <w:rsid w:val="00A60611"/>
    <w:rsid w:val="00A61330"/>
    <w:rsid w:val="00A62BA1"/>
    <w:rsid w:val="00A62EFA"/>
    <w:rsid w:val="00A6337E"/>
    <w:rsid w:val="00A64A9E"/>
    <w:rsid w:val="00A6655D"/>
    <w:rsid w:val="00A66903"/>
    <w:rsid w:val="00A67E93"/>
    <w:rsid w:val="00A70051"/>
    <w:rsid w:val="00A71646"/>
    <w:rsid w:val="00A71ACD"/>
    <w:rsid w:val="00A7204F"/>
    <w:rsid w:val="00A73474"/>
    <w:rsid w:val="00A73500"/>
    <w:rsid w:val="00A7390C"/>
    <w:rsid w:val="00A73A47"/>
    <w:rsid w:val="00A7685C"/>
    <w:rsid w:val="00A77B7D"/>
    <w:rsid w:val="00A77EC6"/>
    <w:rsid w:val="00A831CF"/>
    <w:rsid w:val="00A84DAA"/>
    <w:rsid w:val="00A855A6"/>
    <w:rsid w:val="00A855C8"/>
    <w:rsid w:val="00A869E0"/>
    <w:rsid w:val="00A87581"/>
    <w:rsid w:val="00A913B5"/>
    <w:rsid w:val="00A924D2"/>
    <w:rsid w:val="00A92E99"/>
    <w:rsid w:val="00A931BB"/>
    <w:rsid w:val="00A93EBD"/>
    <w:rsid w:val="00A96333"/>
    <w:rsid w:val="00AA0C57"/>
    <w:rsid w:val="00AA3748"/>
    <w:rsid w:val="00AA3828"/>
    <w:rsid w:val="00AA429A"/>
    <w:rsid w:val="00AB0EC2"/>
    <w:rsid w:val="00AB0FE2"/>
    <w:rsid w:val="00AB3EA9"/>
    <w:rsid w:val="00AB3F66"/>
    <w:rsid w:val="00AB4072"/>
    <w:rsid w:val="00AB6F27"/>
    <w:rsid w:val="00AB7F57"/>
    <w:rsid w:val="00AC4066"/>
    <w:rsid w:val="00AC46A9"/>
    <w:rsid w:val="00AC5565"/>
    <w:rsid w:val="00AC57EA"/>
    <w:rsid w:val="00AC725C"/>
    <w:rsid w:val="00AD0275"/>
    <w:rsid w:val="00AD077F"/>
    <w:rsid w:val="00AD2167"/>
    <w:rsid w:val="00AD4C51"/>
    <w:rsid w:val="00AD7F83"/>
    <w:rsid w:val="00AE0161"/>
    <w:rsid w:val="00AE05E2"/>
    <w:rsid w:val="00AE1416"/>
    <w:rsid w:val="00AE1671"/>
    <w:rsid w:val="00AE26B2"/>
    <w:rsid w:val="00AE3573"/>
    <w:rsid w:val="00AE49C7"/>
    <w:rsid w:val="00AE6DA9"/>
    <w:rsid w:val="00AF0BB0"/>
    <w:rsid w:val="00AF413E"/>
    <w:rsid w:val="00AF4B1A"/>
    <w:rsid w:val="00AF5431"/>
    <w:rsid w:val="00AF59ED"/>
    <w:rsid w:val="00AF606D"/>
    <w:rsid w:val="00B040DD"/>
    <w:rsid w:val="00B04F1D"/>
    <w:rsid w:val="00B05C34"/>
    <w:rsid w:val="00B06CF5"/>
    <w:rsid w:val="00B136B9"/>
    <w:rsid w:val="00B13A9F"/>
    <w:rsid w:val="00B13FFD"/>
    <w:rsid w:val="00B1539C"/>
    <w:rsid w:val="00B15504"/>
    <w:rsid w:val="00B1645A"/>
    <w:rsid w:val="00B23BB5"/>
    <w:rsid w:val="00B23F46"/>
    <w:rsid w:val="00B25319"/>
    <w:rsid w:val="00B259CF"/>
    <w:rsid w:val="00B25F68"/>
    <w:rsid w:val="00B2672E"/>
    <w:rsid w:val="00B30131"/>
    <w:rsid w:val="00B31161"/>
    <w:rsid w:val="00B31EBA"/>
    <w:rsid w:val="00B333E5"/>
    <w:rsid w:val="00B3479F"/>
    <w:rsid w:val="00B3492C"/>
    <w:rsid w:val="00B34FB6"/>
    <w:rsid w:val="00B368A8"/>
    <w:rsid w:val="00B3741E"/>
    <w:rsid w:val="00B40A16"/>
    <w:rsid w:val="00B40D2F"/>
    <w:rsid w:val="00B41515"/>
    <w:rsid w:val="00B4267E"/>
    <w:rsid w:val="00B42879"/>
    <w:rsid w:val="00B529EF"/>
    <w:rsid w:val="00B53549"/>
    <w:rsid w:val="00B544B2"/>
    <w:rsid w:val="00B54B78"/>
    <w:rsid w:val="00B55C8C"/>
    <w:rsid w:val="00B55E4A"/>
    <w:rsid w:val="00B56327"/>
    <w:rsid w:val="00B56422"/>
    <w:rsid w:val="00B624C5"/>
    <w:rsid w:val="00B64AA2"/>
    <w:rsid w:val="00B708FE"/>
    <w:rsid w:val="00B71957"/>
    <w:rsid w:val="00B72DB2"/>
    <w:rsid w:val="00B7325B"/>
    <w:rsid w:val="00B73C72"/>
    <w:rsid w:val="00B73D76"/>
    <w:rsid w:val="00B7440B"/>
    <w:rsid w:val="00B7501D"/>
    <w:rsid w:val="00B7516C"/>
    <w:rsid w:val="00B7566C"/>
    <w:rsid w:val="00B76D72"/>
    <w:rsid w:val="00B76F08"/>
    <w:rsid w:val="00B80887"/>
    <w:rsid w:val="00B82F9A"/>
    <w:rsid w:val="00B83E84"/>
    <w:rsid w:val="00B84005"/>
    <w:rsid w:val="00B84194"/>
    <w:rsid w:val="00B84DDD"/>
    <w:rsid w:val="00B86564"/>
    <w:rsid w:val="00B866FD"/>
    <w:rsid w:val="00B86CDA"/>
    <w:rsid w:val="00B92DE5"/>
    <w:rsid w:val="00B93135"/>
    <w:rsid w:val="00B9332C"/>
    <w:rsid w:val="00B9416C"/>
    <w:rsid w:val="00B94301"/>
    <w:rsid w:val="00B95A31"/>
    <w:rsid w:val="00B95AF1"/>
    <w:rsid w:val="00B95DFA"/>
    <w:rsid w:val="00B97830"/>
    <w:rsid w:val="00BA2885"/>
    <w:rsid w:val="00BA35FB"/>
    <w:rsid w:val="00BA3F59"/>
    <w:rsid w:val="00BA527C"/>
    <w:rsid w:val="00BA6D06"/>
    <w:rsid w:val="00BA706D"/>
    <w:rsid w:val="00BA7501"/>
    <w:rsid w:val="00BA7ECB"/>
    <w:rsid w:val="00BA7EF8"/>
    <w:rsid w:val="00BB35E8"/>
    <w:rsid w:val="00BB4F71"/>
    <w:rsid w:val="00BC0204"/>
    <w:rsid w:val="00BC2028"/>
    <w:rsid w:val="00BC6469"/>
    <w:rsid w:val="00BD03F5"/>
    <w:rsid w:val="00BD1DC4"/>
    <w:rsid w:val="00BD3488"/>
    <w:rsid w:val="00BD5942"/>
    <w:rsid w:val="00BD6131"/>
    <w:rsid w:val="00BD7883"/>
    <w:rsid w:val="00BD79C8"/>
    <w:rsid w:val="00BE4383"/>
    <w:rsid w:val="00BE64BD"/>
    <w:rsid w:val="00BF0797"/>
    <w:rsid w:val="00BF20A6"/>
    <w:rsid w:val="00BF542B"/>
    <w:rsid w:val="00BF5AD6"/>
    <w:rsid w:val="00BF605B"/>
    <w:rsid w:val="00BF67AF"/>
    <w:rsid w:val="00BF78F3"/>
    <w:rsid w:val="00C01F42"/>
    <w:rsid w:val="00C02070"/>
    <w:rsid w:val="00C03386"/>
    <w:rsid w:val="00C04833"/>
    <w:rsid w:val="00C04A3E"/>
    <w:rsid w:val="00C05E3B"/>
    <w:rsid w:val="00C0602D"/>
    <w:rsid w:val="00C12195"/>
    <w:rsid w:val="00C12C7A"/>
    <w:rsid w:val="00C130E6"/>
    <w:rsid w:val="00C1379C"/>
    <w:rsid w:val="00C15140"/>
    <w:rsid w:val="00C15469"/>
    <w:rsid w:val="00C164F3"/>
    <w:rsid w:val="00C1673C"/>
    <w:rsid w:val="00C2154B"/>
    <w:rsid w:val="00C22B36"/>
    <w:rsid w:val="00C230AF"/>
    <w:rsid w:val="00C24709"/>
    <w:rsid w:val="00C24BAF"/>
    <w:rsid w:val="00C24CC6"/>
    <w:rsid w:val="00C25EE9"/>
    <w:rsid w:val="00C27BB6"/>
    <w:rsid w:val="00C32158"/>
    <w:rsid w:val="00C32192"/>
    <w:rsid w:val="00C3323F"/>
    <w:rsid w:val="00C3383A"/>
    <w:rsid w:val="00C33B82"/>
    <w:rsid w:val="00C35447"/>
    <w:rsid w:val="00C354CF"/>
    <w:rsid w:val="00C37D94"/>
    <w:rsid w:val="00C43ABC"/>
    <w:rsid w:val="00C472A2"/>
    <w:rsid w:val="00C475B2"/>
    <w:rsid w:val="00C51AE3"/>
    <w:rsid w:val="00C51DF1"/>
    <w:rsid w:val="00C5234C"/>
    <w:rsid w:val="00C545B0"/>
    <w:rsid w:val="00C55214"/>
    <w:rsid w:val="00C554FF"/>
    <w:rsid w:val="00C5726B"/>
    <w:rsid w:val="00C6011B"/>
    <w:rsid w:val="00C60B30"/>
    <w:rsid w:val="00C61E6A"/>
    <w:rsid w:val="00C6342F"/>
    <w:rsid w:val="00C63C1C"/>
    <w:rsid w:val="00C65170"/>
    <w:rsid w:val="00C65B7E"/>
    <w:rsid w:val="00C6704C"/>
    <w:rsid w:val="00C70E8D"/>
    <w:rsid w:val="00C72109"/>
    <w:rsid w:val="00C75323"/>
    <w:rsid w:val="00C77D6B"/>
    <w:rsid w:val="00C8036F"/>
    <w:rsid w:val="00C81991"/>
    <w:rsid w:val="00C82392"/>
    <w:rsid w:val="00C859EE"/>
    <w:rsid w:val="00C903E3"/>
    <w:rsid w:val="00C905B2"/>
    <w:rsid w:val="00C91C9F"/>
    <w:rsid w:val="00C92A64"/>
    <w:rsid w:val="00C93845"/>
    <w:rsid w:val="00C93881"/>
    <w:rsid w:val="00C95099"/>
    <w:rsid w:val="00C95804"/>
    <w:rsid w:val="00C95FDB"/>
    <w:rsid w:val="00CA1BD4"/>
    <w:rsid w:val="00CA2F11"/>
    <w:rsid w:val="00CA3A97"/>
    <w:rsid w:val="00CA689C"/>
    <w:rsid w:val="00CA6C97"/>
    <w:rsid w:val="00CA7FC2"/>
    <w:rsid w:val="00CB07C0"/>
    <w:rsid w:val="00CB0B7C"/>
    <w:rsid w:val="00CB16D4"/>
    <w:rsid w:val="00CB2CC9"/>
    <w:rsid w:val="00CB3EE2"/>
    <w:rsid w:val="00CB4822"/>
    <w:rsid w:val="00CB4C23"/>
    <w:rsid w:val="00CB4D98"/>
    <w:rsid w:val="00CB609E"/>
    <w:rsid w:val="00CB60BC"/>
    <w:rsid w:val="00CB61D6"/>
    <w:rsid w:val="00CB625D"/>
    <w:rsid w:val="00CB68F9"/>
    <w:rsid w:val="00CC16A0"/>
    <w:rsid w:val="00CC1A36"/>
    <w:rsid w:val="00CC2C15"/>
    <w:rsid w:val="00CC2C5A"/>
    <w:rsid w:val="00CC2C92"/>
    <w:rsid w:val="00CC2D7D"/>
    <w:rsid w:val="00CC2EF0"/>
    <w:rsid w:val="00CC4F9B"/>
    <w:rsid w:val="00CC5A58"/>
    <w:rsid w:val="00CC7537"/>
    <w:rsid w:val="00CD2285"/>
    <w:rsid w:val="00CD30DC"/>
    <w:rsid w:val="00CD3F1A"/>
    <w:rsid w:val="00CD4DCC"/>
    <w:rsid w:val="00CD5867"/>
    <w:rsid w:val="00CD68AF"/>
    <w:rsid w:val="00CE0F74"/>
    <w:rsid w:val="00CE1C00"/>
    <w:rsid w:val="00CE4A5F"/>
    <w:rsid w:val="00CE528E"/>
    <w:rsid w:val="00CE5893"/>
    <w:rsid w:val="00CF17EA"/>
    <w:rsid w:val="00CF2E43"/>
    <w:rsid w:val="00CF579D"/>
    <w:rsid w:val="00CF5E88"/>
    <w:rsid w:val="00CF6F98"/>
    <w:rsid w:val="00D00281"/>
    <w:rsid w:val="00D04D51"/>
    <w:rsid w:val="00D04FF4"/>
    <w:rsid w:val="00D078E6"/>
    <w:rsid w:val="00D10406"/>
    <w:rsid w:val="00D116BD"/>
    <w:rsid w:val="00D120FF"/>
    <w:rsid w:val="00D139AB"/>
    <w:rsid w:val="00D14A73"/>
    <w:rsid w:val="00D157B6"/>
    <w:rsid w:val="00D15AFE"/>
    <w:rsid w:val="00D22150"/>
    <w:rsid w:val="00D22A94"/>
    <w:rsid w:val="00D234E1"/>
    <w:rsid w:val="00D2439A"/>
    <w:rsid w:val="00D3162B"/>
    <w:rsid w:val="00D336F5"/>
    <w:rsid w:val="00D3396C"/>
    <w:rsid w:val="00D33CB7"/>
    <w:rsid w:val="00D36E9B"/>
    <w:rsid w:val="00D444C8"/>
    <w:rsid w:val="00D4658E"/>
    <w:rsid w:val="00D47109"/>
    <w:rsid w:val="00D47744"/>
    <w:rsid w:val="00D5305F"/>
    <w:rsid w:val="00D56CAE"/>
    <w:rsid w:val="00D57383"/>
    <w:rsid w:val="00D63ED5"/>
    <w:rsid w:val="00D64243"/>
    <w:rsid w:val="00D65263"/>
    <w:rsid w:val="00D65A95"/>
    <w:rsid w:val="00D65B79"/>
    <w:rsid w:val="00D66FB8"/>
    <w:rsid w:val="00D67A4B"/>
    <w:rsid w:val="00D7048E"/>
    <w:rsid w:val="00D72840"/>
    <w:rsid w:val="00D72980"/>
    <w:rsid w:val="00D73019"/>
    <w:rsid w:val="00D74949"/>
    <w:rsid w:val="00D77831"/>
    <w:rsid w:val="00D8437D"/>
    <w:rsid w:val="00D87031"/>
    <w:rsid w:val="00D8741C"/>
    <w:rsid w:val="00D878F2"/>
    <w:rsid w:val="00D9066C"/>
    <w:rsid w:val="00D90FC2"/>
    <w:rsid w:val="00D9247D"/>
    <w:rsid w:val="00D92CEF"/>
    <w:rsid w:val="00D93AEB"/>
    <w:rsid w:val="00D93D9B"/>
    <w:rsid w:val="00D94470"/>
    <w:rsid w:val="00D9519E"/>
    <w:rsid w:val="00D96CE9"/>
    <w:rsid w:val="00DA055F"/>
    <w:rsid w:val="00DA252E"/>
    <w:rsid w:val="00DA2582"/>
    <w:rsid w:val="00DA46DA"/>
    <w:rsid w:val="00DB2F3B"/>
    <w:rsid w:val="00DB4D2D"/>
    <w:rsid w:val="00DC105D"/>
    <w:rsid w:val="00DC1104"/>
    <w:rsid w:val="00DC2535"/>
    <w:rsid w:val="00DC2673"/>
    <w:rsid w:val="00DC27B2"/>
    <w:rsid w:val="00DC2B15"/>
    <w:rsid w:val="00DC2B18"/>
    <w:rsid w:val="00DC32EC"/>
    <w:rsid w:val="00DC3A86"/>
    <w:rsid w:val="00DC57B8"/>
    <w:rsid w:val="00DC6934"/>
    <w:rsid w:val="00DC69D5"/>
    <w:rsid w:val="00DD007E"/>
    <w:rsid w:val="00DD0674"/>
    <w:rsid w:val="00DD0B57"/>
    <w:rsid w:val="00DD184E"/>
    <w:rsid w:val="00DD360E"/>
    <w:rsid w:val="00DD369C"/>
    <w:rsid w:val="00DD43B8"/>
    <w:rsid w:val="00DD4F94"/>
    <w:rsid w:val="00DD5972"/>
    <w:rsid w:val="00DD6381"/>
    <w:rsid w:val="00DD662F"/>
    <w:rsid w:val="00DD72DD"/>
    <w:rsid w:val="00DD73D0"/>
    <w:rsid w:val="00DD770F"/>
    <w:rsid w:val="00DE0525"/>
    <w:rsid w:val="00DE13ED"/>
    <w:rsid w:val="00DE1EF7"/>
    <w:rsid w:val="00DE322A"/>
    <w:rsid w:val="00DE3328"/>
    <w:rsid w:val="00DE4BC7"/>
    <w:rsid w:val="00DE4D76"/>
    <w:rsid w:val="00DE58A3"/>
    <w:rsid w:val="00DE58C5"/>
    <w:rsid w:val="00DE5BAF"/>
    <w:rsid w:val="00DE6151"/>
    <w:rsid w:val="00DE6D33"/>
    <w:rsid w:val="00DE7601"/>
    <w:rsid w:val="00DF013F"/>
    <w:rsid w:val="00DF0DEA"/>
    <w:rsid w:val="00DF14BE"/>
    <w:rsid w:val="00DF1ED7"/>
    <w:rsid w:val="00DF34FD"/>
    <w:rsid w:val="00DF47ED"/>
    <w:rsid w:val="00DF6054"/>
    <w:rsid w:val="00E027B9"/>
    <w:rsid w:val="00E03FD1"/>
    <w:rsid w:val="00E04D6C"/>
    <w:rsid w:val="00E0510E"/>
    <w:rsid w:val="00E056D3"/>
    <w:rsid w:val="00E0571E"/>
    <w:rsid w:val="00E07473"/>
    <w:rsid w:val="00E1057B"/>
    <w:rsid w:val="00E12487"/>
    <w:rsid w:val="00E12CBF"/>
    <w:rsid w:val="00E13301"/>
    <w:rsid w:val="00E17F2F"/>
    <w:rsid w:val="00E20039"/>
    <w:rsid w:val="00E202BB"/>
    <w:rsid w:val="00E20CB2"/>
    <w:rsid w:val="00E212A2"/>
    <w:rsid w:val="00E22487"/>
    <w:rsid w:val="00E23E69"/>
    <w:rsid w:val="00E24D00"/>
    <w:rsid w:val="00E30124"/>
    <w:rsid w:val="00E31DBA"/>
    <w:rsid w:val="00E329A9"/>
    <w:rsid w:val="00E3559C"/>
    <w:rsid w:val="00E37048"/>
    <w:rsid w:val="00E4046D"/>
    <w:rsid w:val="00E40B4F"/>
    <w:rsid w:val="00E41C57"/>
    <w:rsid w:val="00E42DD7"/>
    <w:rsid w:val="00E44AB3"/>
    <w:rsid w:val="00E450F7"/>
    <w:rsid w:val="00E4610F"/>
    <w:rsid w:val="00E46E85"/>
    <w:rsid w:val="00E47224"/>
    <w:rsid w:val="00E47DD8"/>
    <w:rsid w:val="00E50091"/>
    <w:rsid w:val="00E521DD"/>
    <w:rsid w:val="00E53E23"/>
    <w:rsid w:val="00E56AF1"/>
    <w:rsid w:val="00E5780A"/>
    <w:rsid w:val="00E6010C"/>
    <w:rsid w:val="00E61C47"/>
    <w:rsid w:val="00E6246D"/>
    <w:rsid w:val="00E62DD5"/>
    <w:rsid w:val="00E63B4A"/>
    <w:rsid w:val="00E63E7F"/>
    <w:rsid w:val="00E644A1"/>
    <w:rsid w:val="00E645EB"/>
    <w:rsid w:val="00E64647"/>
    <w:rsid w:val="00E655FF"/>
    <w:rsid w:val="00E657D0"/>
    <w:rsid w:val="00E67208"/>
    <w:rsid w:val="00E672E9"/>
    <w:rsid w:val="00E676EB"/>
    <w:rsid w:val="00E73B08"/>
    <w:rsid w:val="00E750B8"/>
    <w:rsid w:val="00E75DCD"/>
    <w:rsid w:val="00E75F3A"/>
    <w:rsid w:val="00E81859"/>
    <w:rsid w:val="00E8354A"/>
    <w:rsid w:val="00E87A7F"/>
    <w:rsid w:val="00E90931"/>
    <w:rsid w:val="00E91552"/>
    <w:rsid w:val="00E9314E"/>
    <w:rsid w:val="00E94857"/>
    <w:rsid w:val="00E953F5"/>
    <w:rsid w:val="00E96508"/>
    <w:rsid w:val="00E9753D"/>
    <w:rsid w:val="00EA077D"/>
    <w:rsid w:val="00EA0EAE"/>
    <w:rsid w:val="00EA6559"/>
    <w:rsid w:val="00EA77C4"/>
    <w:rsid w:val="00EA780B"/>
    <w:rsid w:val="00EB0E0A"/>
    <w:rsid w:val="00EB33AD"/>
    <w:rsid w:val="00EB4285"/>
    <w:rsid w:val="00EB4917"/>
    <w:rsid w:val="00EB6985"/>
    <w:rsid w:val="00EB6AEA"/>
    <w:rsid w:val="00EB772E"/>
    <w:rsid w:val="00EC2761"/>
    <w:rsid w:val="00EC3461"/>
    <w:rsid w:val="00EC3F55"/>
    <w:rsid w:val="00EC4CCD"/>
    <w:rsid w:val="00EC54C1"/>
    <w:rsid w:val="00EC5B18"/>
    <w:rsid w:val="00EC641E"/>
    <w:rsid w:val="00ED165E"/>
    <w:rsid w:val="00ED1E39"/>
    <w:rsid w:val="00ED249D"/>
    <w:rsid w:val="00ED58E1"/>
    <w:rsid w:val="00ED7500"/>
    <w:rsid w:val="00EE03E4"/>
    <w:rsid w:val="00EE096D"/>
    <w:rsid w:val="00EE0AD5"/>
    <w:rsid w:val="00EE2135"/>
    <w:rsid w:val="00EE714A"/>
    <w:rsid w:val="00EE76EF"/>
    <w:rsid w:val="00EF0234"/>
    <w:rsid w:val="00EF0411"/>
    <w:rsid w:val="00EF38A7"/>
    <w:rsid w:val="00EF5528"/>
    <w:rsid w:val="00EF62DC"/>
    <w:rsid w:val="00EF7107"/>
    <w:rsid w:val="00EF7AA1"/>
    <w:rsid w:val="00F037AA"/>
    <w:rsid w:val="00F04AAD"/>
    <w:rsid w:val="00F06CD6"/>
    <w:rsid w:val="00F06D3F"/>
    <w:rsid w:val="00F10843"/>
    <w:rsid w:val="00F11283"/>
    <w:rsid w:val="00F11ACD"/>
    <w:rsid w:val="00F1403F"/>
    <w:rsid w:val="00F14B1E"/>
    <w:rsid w:val="00F15533"/>
    <w:rsid w:val="00F15829"/>
    <w:rsid w:val="00F16487"/>
    <w:rsid w:val="00F17B59"/>
    <w:rsid w:val="00F17EE7"/>
    <w:rsid w:val="00F20683"/>
    <w:rsid w:val="00F25C44"/>
    <w:rsid w:val="00F2760E"/>
    <w:rsid w:val="00F278E2"/>
    <w:rsid w:val="00F30ABB"/>
    <w:rsid w:val="00F3308B"/>
    <w:rsid w:val="00F35838"/>
    <w:rsid w:val="00F36436"/>
    <w:rsid w:val="00F36DE1"/>
    <w:rsid w:val="00F4115A"/>
    <w:rsid w:val="00F4169E"/>
    <w:rsid w:val="00F432D3"/>
    <w:rsid w:val="00F4374B"/>
    <w:rsid w:val="00F43EA9"/>
    <w:rsid w:val="00F456F3"/>
    <w:rsid w:val="00F472CF"/>
    <w:rsid w:val="00F52CB7"/>
    <w:rsid w:val="00F52E38"/>
    <w:rsid w:val="00F52F4B"/>
    <w:rsid w:val="00F532E2"/>
    <w:rsid w:val="00F54103"/>
    <w:rsid w:val="00F54C9D"/>
    <w:rsid w:val="00F54D59"/>
    <w:rsid w:val="00F550AA"/>
    <w:rsid w:val="00F555FA"/>
    <w:rsid w:val="00F57482"/>
    <w:rsid w:val="00F639F1"/>
    <w:rsid w:val="00F63FCA"/>
    <w:rsid w:val="00F641A8"/>
    <w:rsid w:val="00F65858"/>
    <w:rsid w:val="00F66FFA"/>
    <w:rsid w:val="00F677F8"/>
    <w:rsid w:val="00F80146"/>
    <w:rsid w:val="00F818DE"/>
    <w:rsid w:val="00F818FE"/>
    <w:rsid w:val="00F83955"/>
    <w:rsid w:val="00F857C1"/>
    <w:rsid w:val="00F86F0D"/>
    <w:rsid w:val="00F90A9A"/>
    <w:rsid w:val="00F91306"/>
    <w:rsid w:val="00F92212"/>
    <w:rsid w:val="00F931DA"/>
    <w:rsid w:val="00F94713"/>
    <w:rsid w:val="00F95434"/>
    <w:rsid w:val="00F96D88"/>
    <w:rsid w:val="00FA053B"/>
    <w:rsid w:val="00FA239A"/>
    <w:rsid w:val="00FA35AF"/>
    <w:rsid w:val="00FA35F7"/>
    <w:rsid w:val="00FA3E73"/>
    <w:rsid w:val="00FA566C"/>
    <w:rsid w:val="00FA74A5"/>
    <w:rsid w:val="00FB1A37"/>
    <w:rsid w:val="00FB2CC4"/>
    <w:rsid w:val="00FB4FCA"/>
    <w:rsid w:val="00FB5219"/>
    <w:rsid w:val="00FB5F5F"/>
    <w:rsid w:val="00FB5FB0"/>
    <w:rsid w:val="00FB657B"/>
    <w:rsid w:val="00FC114B"/>
    <w:rsid w:val="00FC2605"/>
    <w:rsid w:val="00FC39C9"/>
    <w:rsid w:val="00FC3AA7"/>
    <w:rsid w:val="00FC43F3"/>
    <w:rsid w:val="00FC49A9"/>
    <w:rsid w:val="00FC654A"/>
    <w:rsid w:val="00FC7D05"/>
    <w:rsid w:val="00FD214C"/>
    <w:rsid w:val="00FE0699"/>
    <w:rsid w:val="00FE06B4"/>
    <w:rsid w:val="00FE2AFA"/>
    <w:rsid w:val="00FE2FB3"/>
    <w:rsid w:val="00FE4DA7"/>
    <w:rsid w:val="00FE7A67"/>
    <w:rsid w:val="00FF1EA8"/>
    <w:rsid w:val="00FF321A"/>
    <w:rsid w:val="00FF528C"/>
    <w:rsid w:val="00FF57C7"/>
    <w:rsid w:val="00FF6591"/>
    <w:rsid w:val="00FF76D5"/>
    <w:rsid w:val="00FF7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BBEBE-C4F3-42EF-B292-978DC032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67E"/>
    <w:rPr>
      <w:rFonts w:ascii="Calibri" w:eastAsia="Times New Roman" w:hAnsi="Calibri" w:cs="Times New Roman"/>
      <w:lang w:eastAsia="en-US"/>
    </w:rPr>
  </w:style>
  <w:style w:type="paragraph" w:styleId="Heading1">
    <w:name w:val="heading 1"/>
    <w:basedOn w:val="Normal"/>
    <w:next w:val="Normal"/>
    <w:link w:val="Heading1Char"/>
    <w:uiPriority w:val="9"/>
    <w:qFormat/>
    <w:rsid w:val="00A720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20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4267E"/>
    <w:rPr>
      <w:rFonts w:cs="Times New Roman"/>
      <w:color w:val="0000FF"/>
      <w:u w:val="single"/>
    </w:rPr>
  </w:style>
  <w:style w:type="paragraph" w:styleId="Caption">
    <w:name w:val="caption"/>
    <w:basedOn w:val="Normal"/>
    <w:next w:val="Normal"/>
    <w:uiPriority w:val="99"/>
    <w:qFormat/>
    <w:rsid w:val="00B4267E"/>
    <w:pPr>
      <w:spacing w:line="240" w:lineRule="auto"/>
    </w:pPr>
    <w:rPr>
      <w:b/>
      <w:bCs/>
      <w:color w:val="2DA2BF"/>
      <w:sz w:val="18"/>
      <w:szCs w:val="18"/>
    </w:rPr>
  </w:style>
  <w:style w:type="paragraph" w:customStyle="1" w:styleId="Default">
    <w:name w:val="Default"/>
    <w:uiPriority w:val="99"/>
    <w:rsid w:val="00B4267E"/>
    <w:pPr>
      <w:autoSpaceDE w:val="0"/>
      <w:autoSpaceDN w:val="0"/>
      <w:adjustRightInd w:val="0"/>
    </w:pPr>
    <w:rPr>
      <w:rFonts w:ascii="Calibri" w:eastAsia="Times New Roman" w:hAnsi="Calibri" w:cs="Calibri"/>
      <w:color w:val="000000"/>
      <w:sz w:val="24"/>
      <w:szCs w:val="24"/>
      <w:lang w:eastAsia="en-US"/>
    </w:rPr>
  </w:style>
  <w:style w:type="paragraph" w:styleId="FootnoteText">
    <w:name w:val="footnote text"/>
    <w:basedOn w:val="Normal"/>
    <w:link w:val="FootnoteTextChar"/>
    <w:uiPriority w:val="99"/>
    <w:semiHidden/>
    <w:rsid w:val="00B4267E"/>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67E"/>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rsid w:val="00B4267E"/>
    <w:rPr>
      <w:rFonts w:cs="Times New Roman"/>
      <w:vertAlign w:val="superscript"/>
    </w:rPr>
  </w:style>
  <w:style w:type="paragraph" w:styleId="NormalWeb">
    <w:name w:val="Normal (Web)"/>
    <w:basedOn w:val="Normal"/>
    <w:uiPriority w:val="99"/>
    <w:rsid w:val="00B4267E"/>
    <w:pPr>
      <w:spacing w:before="100" w:beforeAutospacing="1" w:after="100" w:afterAutospacing="1" w:line="240" w:lineRule="auto"/>
    </w:pPr>
    <w:rPr>
      <w:sz w:val="24"/>
      <w:szCs w:val="24"/>
    </w:rPr>
  </w:style>
  <w:style w:type="paragraph" w:styleId="NoSpacing">
    <w:name w:val="No Spacing"/>
    <w:uiPriority w:val="99"/>
    <w:qFormat/>
    <w:rsid w:val="00B4267E"/>
    <w:pPr>
      <w:spacing w:after="0" w:line="240" w:lineRule="auto"/>
    </w:pPr>
    <w:rPr>
      <w:rFonts w:ascii="Calibri" w:eastAsia="Times New Roman" w:hAnsi="Calibri" w:cs="Times New Roman"/>
      <w:lang w:eastAsia="en-US"/>
    </w:rPr>
  </w:style>
  <w:style w:type="paragraph" w:styleId="BalloonText">
    <w:name w:val="Balloon Text"/>
    <w:basedOn w:val="Normal"/>
    <w:link w:val="BalloonTextChar"/>
    <w:uiPriority w:val="99"/>
    <w:semiHidden/>
    <w:unhideWhenUsed/>
    <w:rsid w:val="00B42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7E"/>
    <w:rPr>
      <w:rFonts w:ascii="Tahoma" w:eastAsia="Times New Roman" w:hAnsi="Tahoma" w:cs="Tahoma"/>
      <w:sz w:val="16"/>
      <w:szCs w:val="16"/>
      <w:lang w:eastAsia="en-US"/>
    </w:rPr>
  </w:style>
  <w:style w:type="paragraph" w:styleId="Title">
    <w:name w:val="Title"/>
    <w:basedOn w:val="Normal"/>
    <w:next w:val="Normal"/>
    <w:link w:val="TitleChar"/>
    <w:uiPriority w:val="10"/>
    <w:qFormat/>
    <w:rsid w:val="00A720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204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uiPriority w:val="9"/>
    <w:rsid w:val="00A7204F"/>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A7204F"/>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7D1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4DB"/>
    <w:rPr>
      <w:rFonts w:ascii="Calibri" w:eastAsia="Times New Roman" w:hAnsi="Calibri" w:cs="Times New Roman"/>
      <w:lang w:eastAsia="en-US"/>
    </w:rPr>
  </w:style>
  <w:style w:type="paragraph" w:styleId="Footer">
    <w:name w:val="footer"/>
    <w:basedOn w:val="Normal"/>
    <w:link w:val="FooterChar"/>
    <w:uiPriority w:val="99"/>
    <w:unhideWhenUsed/>
    <w:rsid w:val="007D1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4DB"/>
    <w:rPr>
      <w:rFonts w:ascii="Calibri" w:eastAsia="Times New Roman" w:hAnsi="Calibri" w:cs="Times New Roman"/>
      <w:lang w:eastAsia="en-US"/>
    </w:rPr>
  </w:style>
  <w:style w:type="table" w:styleId="TableGrid">
    <w:name w:val="Table Grid"/>
    <w:basedOn w:val="TableNormal"/>
    <w:uiPriority w:val="59"/>
    <w:rsid w:val="00C95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215705300">
      <w:bodyDiv w:val="1"/>
      <w:marLeft w:val="0"/>
      <w:marRight w:val="0"/>
      <w:marTop w:val="0"/>
      <w:marBottom w:val="0"/>
      <w:divBdr>
        <w:top w:val="none" w:sz="0" w:space="0" w:color="auto"/>
        <w:left w:val="none" w:sz="0" w:space="0" w:color="auto"/>
        <w:bottom w:val="none" w:sz="0" w:space="0" w:color="auto"/>
        <w:right w:val="none" w:sz="0" w:space="0" w:color="auto"/>
      </w:divBdr>
    </w:div>
    <w:div w:id="907954764">
      <w:bodyDiv w:val="1"/>
      <w:marLeft w:val="0"/>
      <w:marRight w:val="0"/>
      <w:marTop w:val="0"/>
      <w:marBottom w:val="0"/>
      <w:divBdr>
        <w:top w:val="none" w:sz="0" w:space="0" w:color="auto"/>
        <w:left w:val="none" w:sz="0" w:space="0" w:color="auto"/>
        <w:bottom w:val="none" w:sz="0" w:space="0" w:color="auto"/>
        <w:right w:val="none" w:sz="0" w:space="0" w:color="auto"/>
      </w:divBdr>
    </w:div>
    <w:div w:id="134119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bs.c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bs.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D3810-2D83-48FA-B5BA-6CA24105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Glenda Varlack</dc:creator>
  <cp:lastModifiedBy>Harely Martina</cp:lastModifiedBy>
  <cp:revision>6</cp:revision>
  <cp:lastPrinted>2019-11-27T20:08:00Z</cp:lastPrinted>
  <dcterms:created xsi:type="dcterms:W3CDTF">2019-07-16T18:18:00Z</dcterms:created>
  <dcterms:modified xsi:type="dcterms:W3CDTF">2019-11-27T20:09:00Z</dcterms:modified>
</cp:coreProperties>
</file>